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06D10" w14:textId="77777777" w:rsidR="007C615B" w:rsidRPr="00701DBB" w:rsidRDefault="007C615B" w:rsidP="00C1588E">
      <w:pPr>
        <w:spacing w:after="0" w:line="240" w:lineRule="auto"/>
        <w:jc w:val="right"/>
        <w:rPr>
          <w:rFonts w:ascii="Tahoma" w:eastAsia="Calibri" w:hAnsi="Tahoma" w:cs="Tahoma"/>
          <w:i/>
        </w:rPr>
      </w:pPr>
    </w:p>
    <w:p w14:paraId="1054D1C3" w14:textId="77777777" w:rsidR="00C1588E" w:rsidRPr="00701DBB" w:rsidRDefault="00D028C5" w:rsidP="00C1588E">
      <w:pPr>
        <w:spacing w:after="0" w:line="240" w:lineRule="auto"/>
        <w:jc w:val="right"/>
        <w:rPr>
          <w:rFonts w:ascii="Tahoma" w:eastAsia="Calibri" w:hAnsi="Tahoma" w:cs="Tahoma"/>
          <w:b/>
          <w:i/>
        </w:rPr>
      </w:pPr>
      <w:r w:rsidRPr="00701DBB">
        <w:rPr>
          <w:rFonts w:ascii="Tahoma" w:eastAsia="Calibri" w:hAnsi="Tahoma" w:cs="Tahoma"/>
          <w:b/>
          <w:i/>
        </w:rPr>
        <w:t xml:space="preserve">FAC SIMILE </w:t>
      </w:r>
    </w:p>
    <w:p w14:paraId="20FFDC3D" w14:textId="77777777" w:rsidR="007C615B" w:rsidRPr="00701DBB" w:rsidRDefault="007C615B" w:rsidP="00C1588E">
      <w:pPr>
        <w:spacing w:after="0" w:line="240" w:lineRule="auto"/>
        <w:jc w:val="right"/>
        <w:rPr>
          <w:rFonts w:ascii="Tahoma" w:eastAsia="Calibri" w:hAnsi="Tahoma" w:cs="Tahoma"/>
          <w:i/>
        </w:rPr>
      </w:pPr>
    </w:p>
    <w:p w14:paraId="12B0E50F" w14:textId="77777777" w:rsidR="00D670E7" w:rsidRPr="00701DBB" w:rsidRDefault="00D670E7" w:rsidP="00D670E7">
      <w:pPr>
        <w:spacing w:after="0" w:line="240" w:lineRule="auto"/>
        <w:jc w:val="center"/>
        <w:rPr>
          <w:rFonts w:ascii="Tahoma" w:hAnsi="Tahoma" w:cs="Tahoma"/>
          <w:b/>
          <w:i/>
          <w:u w:val="single"/>
        </w:rPr>
      </w:pPr>
    </w:p>
    <w:p w14:paraId="6EC52037" w14:textId="7CD25CC9" w:rsidR="00822C3F" w:rsidRPr="00701DBB" w:rsidRDefault="00822C3F" w:rsidP="00A353EF">
      <w:pPr>
        <w:spacing w:after="0" w:line="240" w:lineRule="auto"/>
        <w:jc w:val="center"/>
        <w:rPr>
          <w:rFonts w:ascii="Tahoma" w:hAnsi="Tahoma" w:cs="Tahoma"/>
        </w:rPr>
      </w:pPr>
    </w:p>
    <w:p w14:paraId="1B71D259" w14:textId="77777777" w:rsidR="00A353EF" w:rsidRPr="00701DBB" w:rsidRDefault="00A353EF" w:rsidP="00A353EF">
      <w:pPr>
        <w:spacing w:after="0" w:line="240" w:lineRule="auto"/>
        <w:jc w:val="center"/>
        <w:rPr>
          <w:rFonts w:ascii="Tahoma" w:hAnsi="Tahoma" w:cs="Tahoma"/>
        </w:rPr>
      </w:pPr>
      <w:r w:rsidRPr="00701DBB">
        <w:rPr>
          <w:rFonts w:ascii="Tahoma" w:hAnsi="Tahoma" w:cs="Tahoma"/>
        </w:rPr>
        <w:t>(da adattare al caso concreto)</w:t>
      </w:r>
    </w:p>
    <w:p w14:paraId="789F5740" w14:textId="77777777" w:rsidR="00A353EF" w:rsidRPr="00701DBB" w:rsidRDefault="00A353EF" w:rsidP="00B062AE">
      <w:pPr>
        <w:spacing w:after="0" w:line="240" w:lineRule="auto"/>
        <w:jc w:val="center"/>
        <w:rPr>
          <w:rFonts w:ascii="Tahoma" w:hAnsi="Tahoma" w:cs="Tahoma"/>
          <w:b/>
          <w:i/>
          <w:u w:val="single"/>
        </w:rPr>
      </w:pPr>
    </w:p>
    <w:p w14:paraId="432A47E9" w14:textId="47DCF9CF" w:rsidR="008C4EE7" w:rsidRPr="00701DBB" w:rsidRDefault="008C4EE7" w:rsidP="008C4EE7">
      <w:pPr>
        <w:spacing w:after="0" w:line="240" w:lineRule="auto"/>
        <w:rPr>
          <w:rFonts w:ascii="Tahoma" w:hAnsi="Tahoma" w:cs="Tahoma"/>
          <w:b/>
        </w:rPr>
      </w:pPr>
      <w:r w:rsidRPr="00701DBB">
        <w:rPr>
          <w:rFonts w:ascii="Tahoma" w:hAnsi="Tahoma" w:cs="Tahoma"/>
          <w:b/>
        </w:rPr>
        <w:t xml:space="preserve">Raccomandata </w:t>
      </w:r>
      <w:r w:rsidR="00060416">
        <w:rPr>
          <w:rFonts w:ascii="Tahoma" w:hAnsi="Tahoma" w:cs="Tahoma"/>
          <w:b/>
        </w:rPr>
        <w:t>via</w:t>
      </w:r>
      <w:r w:rsidRPr="00701DBB">
        <w:rPr>
          <w:rFonts w:ascii="Tahoma" w:hAnsi="Tahoma" w:cs="Tahoma"/>
          <w:b/>
        </w:rPr>
        <w:t xml:space="preserve"> P.E.C.</w:t>
      </w:r>
    </w:p>
    <w:p w14:paraId="0A16FFF9" w14:textId="77777777" w:rsidR="00DB68E5" w:rsidRPr="00701DBB" w:rsidRDefault="00DB68E5" w:rsidP="00DC15D9">
      <w:pPr>
        <w:spacing w:after="0" w:line="240" w:lineRule="auto"/>
        <w:jc w:val="right"/>
        <w:rPr>
          <w:rFonts w:ascii="Tahoma" w:hAnsi="Tahoma" w:cs="Tahoma"/>
        </w:rPr>
      </w:pPr>
      <w:r w:rsidRPr="00701DBB">
        <w:rPr>
          <w:rFonts w:ascii="Tahoma" w:hAnsi="Tahoma" w:cs="Tahoma"/>
        </w:rPr>
        <w:t>Spett.le</w:t>
      </w:r>
    </w:p>
    <w:p w14:paraId="2F66B6AB" w14:textId="77777777" w:rsidR="00DC15D9" w:rsidRPr="00701DBB" w:rsidRDefault="00DC15D9" w:rsidP="00DC15D9">
      <w:pPr>
        <w:spacing w:after="0" w:line="240" w:lineRule="auto"/>
        <w:jc w:val="right"/>
        <w:rPr>
          <w:rFonts w:ascii="Tahoma" w:hAnsi="Tahoma" w:cs="Tahoma"/>
        </w:rPr>
      </w:pPr>
      <w:r w:rsidRPr="00701DBB">
        <w:rPr>
          <w:rFonts w:ascii="Tahoma" w:hAnsi="Tahoma" w:cs="Tahoma"/>
        </w:rPr>
        <w:t xml:space="preserve">Committente </w:t>
      </w:r>
    </w:p>
    <w:p w14:paraId="127A9557" w14:textId="77777777" w:rsidR="00DC15D9" w:rsidRPr="00701DBB" w:rsidRDefault="00DC15D9" w:rsidP="00DC15D9">
      <w:pPr>
        <w:spacing w:after="0" w:line="240" w:lineRule="auto"/>
        <w:jc w:val="right"/>
        <w:rPr>
          <w:rFonts w:ascii="Tahoma" w:hAnsi="Tahoma" w:cs="Tahoma"/>
        </w:rPr>
      </w:pPr>
      <w:r w:rsidRPr="00701DBB">
        <w:rPr>
          <w:rFonts w:ascii="Tahoma" w:hAnsi="Tahoma" w:cs="Tahoma"/>
        </w:rPr>
        <w:t>………………………</w:t>
      </w:r>
    </w:p>
    <w:p w14:paraId="4DEDA98C" w14:textId="77777777" w:rsidR="007C202E" w:rsidRPr="00701DBB" w:rsidRDefault="007C202E" w:rsidP="00DC15D9">
      <w:pPr>
        <w:spacing w:after="0" w:line="240" w:lineRule="auto"/>
        <w:jc w:val="right"/>
        <w:rPr>
          <w:rFonts w:ascii="Tahoma" w:hAnsi="Tahoma" w:cs="Tahoma"/>
        </w:rPr>
      </w:pPr>
    </w:p>
    <w:p w14:paraId="03BFEE92" w14:textId="3907B1C7" w:rsidR="00DC15D9" w:rsidRPr="00701DBB" w:rsidRDefault="005E2780" w:rsidP="00DC15D9">
      <w:pPr>
        <w:spacing w:after="0" w:line="240" w:lineRule="auto"/>
        <w:jc w:val="right"/>
        <w:rPr>
          <w:rFonts w:ascii="Tahoma" w:hAnsi="Tahoma" w:cs="Tahoma"/>
        </w:rPr>
      </w:pPr>
      <w:r w:rsidRPr="00701DBB">
        <w:rPr>
          <w:rFonts w:ascii="Tahoma" w:hAnsi="Tahoma" w:cs="Tahoma"/>
        </w:rPr>
        <w:t>c.a.:</w:t>
      </w:r>
      <w:r w:rsidR="008C4EE7" w:rsidRPr="00701DBB">
        <w:rPr>
          <w:rFonts w:ascii="Tahoma" w:hAnsi="Tahoma" w:cs="Tahoma"/>
        </w:rPr>
        <w:t xml:space="preserve"> Egregio Sig.</w:t>
      </w:r>
      <w:r w:rsidRPr="00701DBB">
        <w:rPr>
          <w:rFonts w:ascii="Tahoma" w:hAnsi="Tahoma" w:cs="Tahoma"/>
        </w:rPr>
        <w:t xml:space="preserve"> </w:t>
      </w:r>
    </w:p>
    <w:p w14:paraId="753000D9" w14:textId="77777777" w:rsidR="00DC15D9" w:rsidRPr="00701DBB" w:rsidRDefault="00DC15D9" w:rsidP="00DC15D9">
      <w:pPr>
        <w:spacing w:after="0" w:line="240" w:lineRule="auto"/>
        <w:jc w:val="right"/>
        <w:rPr>
          <w:rFonts w:ascii="Tahoma" w:hAnsi="Tahoma" w:cs="Tahoma"/>
        </w:rPr>
      </w:pPr>
      <w:r w:rsidRPr="00701DBB">
        <w:rPr>
          <w:rFonts w:ascii="Tahoma" w:hAnsi="Tahoma" w:cs="Tahoma"/>
        </w:rPr>
        <w:t>………………………………….</w:t>
      </w:r>
    </w:p>
    <w:p w14:paraId="4D9D6C4F" w14:textId="773BFBD4" w:rsidR="00DC15D9" w:rsidRPr="00701DBB" w:rsidRDefault="008C4EE7" w:rsidP="00DC15D9">
      <w:pPr>
        <w:spacing w:after="0" w:line="240" w:lineRule="auto"/>
        <w:jc w:val="right"/>
        <w:rPr>
          <w:rFonts w:ascii="Tahoma" w:hAnsi="Tahoma" w:cs="Tahoma"/>
        </w:rPr>
      </w:pPr>
      <w:r w:rsidRPr="00701DBB">
        <w:rPr>
          <w:rFonts w:ascii="Tahoma" w:hAnsi="Tahoma" w:cs="Tahoma"/>
        </w:rPr>
        <w:t>Responsabile del Procedimento</w:t>
      </w:r>
    </w:p>
    <w:p w14:paraId="78E23539" w14:textId="64EBDB4E" w:rsidR="008C4EE7" w:rsidRPr="00701DBB" w:rsidRDefault="008C4EE7" w:rsidP="008C4EE7">
      <w:pPr>
        <w:spacing w:after="0" w:line="240" w:lineRule="auto"/>
        <w:rPr>
          <w:rFonts w:ascii="Tahoma" w:hAnsi="Tahoma" w:cs="Tahoma"/>
          <w:b/>
        </w:rPr>
      </w:pPr>
      <w:r w:rsidRPr="00701DBB">
        <w:rPr>
          <w:rFonts w:ascii="Tahoma" w:hAnsi="Tahoma" w:cs="Tahoma"/>
          <w:b/>
        </w:rPr>
        <w:t>Anticipata</w:t>
      </w:r>
      <w:r w:rsidR="00060416">
        <w:rPr>
          <w:rFonts w:ascii="Tahoma" w:hAnsi="Tahoma" w:cs="Tahoma"/>
          <w:b/>
        </w:rPr>
        <w:t xml:space="preserve"> via</w:t>
      </w:r>
      <w:r w:rsidRPr="00701DBB">
        <w:rPr>
          <w:rFonts w:ascii="Tahoma" w:hAnsi="Tahoma" w:cs="Tahoma"/>
          <w:b/>
        </w:rPr>
        <w:t xml:space="preserve"> mail</w:t>
      </w:r>
    </w:p>
    <w:p w14:paraId="0C050B49" w14:textId="77777777" w:rsidR="008C4EE7" w:rsidRPr="00701DBB" w:rsidRDefault="005E2780" w:rsidP="008C4EE7">
      <w:pPr>
        <w:spacing w:after="0" w:line="240" w:lineRule="auto"/>
        <w:jc w:val="right"/>
        <w:rPr>
          <w:rFonts w:ascii="Tahoma" w:hAnsi="Tahoma" w:cs="Tahoma"/>
        </w:rPr>
      </w:pPr>
      <w:r w:rsidRPr="00701DBB">
        <w:rPr>
          <w:rFonts w:ascii="Tahoma" w:hAnsi="Tahoma" w:cs="Tahoma"/>
        </w:rPr>
        <w:t>…………………………………</w:t>
      </w:r>
      <w:r w:rsidR="008C4EE7" w:rsidRPr="00701DBB">
        <w:rPr>
          <w:rFonts w:ascii="Tahoma" w:hAnsi="Tahoma" w:cs="Tahoma"/>
        </w:rPr>
        <w:t xml:space="preserve"> </w:t>
      </w:r>
    </w:p>
    <w:p w14:paraId="66B856D9" w14:textId="77777777" w:rsidR="008C4EE7" w:rsidRPr="00701DBB" w:rsidRDefault="008C4EE7" w:rsidP="008C4EE7">
      <w:pPr>
        <w:spacing w:after="0" w:line="240" w:lineRule="auto"/>
        <w:jc w:val="right"/>
        <w:rPr>
          <w:rFonts w:ascii="Tahoma" w:hAnsi="Tahoma" w:cs="Tahoma"/>
        </w:rPr>
      </w:pPr>
      <w:r w:rsidRPr="00701DBB">
        <w:rPr>
          <w:rFonts w:ascii="Tahoma" w:hAnsi="Tahoma" w:cs="Tahoma"/>
        </w:rPr>
        <w:t>Direttore dei Lavori</w:t>
      </w:r>
    </w:p>
    <w:p w14:paraId="15826B36" w14:textId="48E8BD31" w:rsidR="008C4EE7" w:rsidRPr="00701DBB" w:rsidRDefault="008C4EE7" w:rsidP="008C4EE7">
      <w:pPr>
        <w:spacing w:after="0" w:line="240" w:lineRule="auto"/>
        <w:jc w:val="right"/>
        <w:rPr>
          <w:rFonts w:ascii="Tahoma" w:hAnsi="Tahoma" w:cs="Tahoma"/>
        </w:rPr>
      </w:pPr>
      <w:r w:rsidRPr="00701DBB">
        <w:rPr>
          <w:rFonts w:ascii="Tahoma" w:hAnsi="Tahoma" w:cs="Tahoma"/>
        </w:rPr>
        <w:t xml:space="preserve"> </w:t>
      </w:r>
    </w:p>
    <w:p w14:paraId="59AF05E4" w14:textId="10C167D0" w:rsidR="005E2780" w:rsidRPr="00701DBB" w:rsidRDefault="008C4EE7" w:rsidP="005E2780">
      <w:pPr>
        <w:spacing w:after="0" w:line="240" w:lineRule="auto"/>
        <w:jc w:val="right"/>
        <w:rPr>
          <w:rFonts w:ascii="Tahoma" w:hAnsi="Tahoma" w:cs="Tahoma"/>
        </w:rPr>
      </w:pPr>
      <w:r w:rsidRPr="00701DBB">
        <w:rPr>
          <w:rFonts w:ascii="Tahoma" w:hAnsi="Tahoma" w:cs="Tahoma"/>
        </w:rPr>
        <w:t>………………………………..</w:t>
      </w:r>
    </w:p>
    <w:p w14:paraId="540B3A7B" w14:textId="1608BDA3" w:rsidR="005E2780" w:rsidRPr="00701DBB" w:rsidRDefault="008C4EE7" w:rsidP="005E2780">
      <w:pPr>
        <w:spacing w:after="0" w:line="240" w:lineRule="auto"/>
        <w:jc w:val="right"/>
        <w:rPr>
          <w:rFonts w:ascii="Tahoma" w:hAnsi="Tahoma" w:cs="Tahoma"/>
        </w:rPr>
      </w:pPr>
      <w:r w:rsidRPr="00701DBB">
        <w:rPr>
          <w:rFonts w:ascii="Tahoma" w:hAnsi="Tahoma" w:cs="Tahoma"/>
        </w:rPr>
        <w:t xml:space="preserve">Presidente del </w:t>
      </w:r>
      <w:r w:rsidR="005E2780" w:rsidRPr="00701DBB">
        <w:rPr>
          <w:rFonts w:ascii="Tahoma" w:hAnsi="Tahoma" w:cs="Tahoma"/>
        </w:rPr>
        <w:t>Collegio Consultivo Tecnico</w:t>
      </w:r>
      <w:r w:rsidR="00AE4F09" w:rsidRPr="00701DBB">
        <w:rPr>
          <w:rFonts w:ascii="Tahoma" w:hAnsi="Tahoma" w:cs="Tahoma"/>
        </w:rPr>
        <w:t xml:space="preserve"> </w:t>
      </w:r>
    </w:p>
    <w:p w14:paraId="4DCF5294" w14:textId="77777777" w:rsidR="005E2780" w:rsidRPr="00701DBB" w:rsidRDefault="00C75FCD" w:rsidP="005E2780">
      <w:pPr>
        <w:spacing w:after="0" w:line="240" w:lineRule="auto"/>
        <w:jc w:val="right"/>
        <w:rPr>
          <w:rFonts w:ascii="Tahoma" w:hAnsi="Tahoma" w:cs="Tahoma"/>
        </w:rPr>
      </w:pPr>
      <w:r w:rsidRPr="00701DBB">
        <w:rPr>
          <w:rFonts w:ascii="Tahoma" w:hAnsi="Tahoma" w:cs="Tahoma"/>
        </w:rPr>
        <w:t>(ove nominato)</w:t>
      </w:r>
      <w:r w:rsidR="005E2780" w:rsidRPr="00701DBB">
        <w:rPr>
          <w:rFonts w:ascii="Tahoma" w:hAnsi="Tahoma" w:cs="Tahoma"/>
        </w:rPr>
        <w:t xml:space="preserve"> </w:t>
      </w:r>
    </w:p>
    <w:p w14:paraId="259FE610" w14:textId="77777777" w:rsidR="005E2780" w:rsidRPr="00701DBB" w:rsidRDefault="005E2780" w:rsidP="00DC15D9">
      <w:pPr>
        <w:spacing w:after="0" w:line="240" w:lineRule="auto"/>
        <w:jc w:val="right"/>
        <w:rPr>
          <w:rFonts w:ascii="Tahoma" w:hAnsi="Tahoma" w:cs="Tahoma"/>
        </w:rPr>
      </w:pPr>
    </w:p>
    <w:p w14:paraId="0249B5AE" w14:textId="77777777" w:rsidR="00DC15D9" w:rsidRPr="00701DBB" w:rsidRDefault="00DC15D9" w:rsidP="00DC15D9">
      <w:pPr>
        <w:spacing w:after="0" w:line="240" w:lineRule="auto"/>
        <w:jc w:val="right"/>
        <w:rPr>
          <w:rFonts w:ascii="Tahoma" w:hAnsi="Tahoma" w:cs="Tahoma"/>
        </w:rPr>
      </w:pPr>
    </w:p>
    <w:p w14:paraId="60CB7AB9" w14:textId="77777777" w:rsidR="00DC15D9" w:rsidRPr="00701DBB" w:rsidRDefault="00DC15D9" w:rsidP="00DC15D9">
      <w:pPr>
        <w:spacing w:after="0" w:line="240" w:lineRule="auto"/>
        <w:jc w:val="right"/>
        <w:rPr>
          <w:rFonts w:ascii="Tahoma" w:hAnsi="Tahoma" w:cs="Tahoma"/>
        </w:rPr>
      </w:pPr>
    </w:p>
    <w:p w14:paraId="792FF2FB" w14:textId="77777777" w:rsidR="00DC15D9" w:rsidRPr="00701DBB" w:rsidRDefault="00DC15D9" w:rsidP="00DC15D9">
      <w:pPr>
        <w:spacing w:after="0" w:line="240" w:lineRule="auto"/>
        <w:jc w:val="both"/>
        <w:rPr>
          <w:rFonts w:ascii="Tahoma" w:hAnsi="Tahoma" w:cs="Tahoma"/>
        </w:rPr>
      </w:pPr>
    </w:p>
    <w:p w14:paraId="6EB3911E" w14:textId="393C2110" w:rsidR="002016AF" w:rsidRPr="00701DBB" w:rsidRDefault="00DC15D9" w:rsidP="00DC15D9">
      <w:pPr>
        <w:spacing w:after="0" w:line="240" w:lineRule="auto"/>
        <w:jc w:val="both"/>
        <w:rPr>
          <w:rFonts w:ascii="Tahoma" w:hAnsi="Tahoma" w:cs="Tahoma"/>
          <w:b/>
          <w:bCs/>
          <w:i/>
          <w:iCs/>
        </w:rPr>
      </w:pPr>
      <w:r w:rsidRPr="00701DBB">
        <w:rPr>
          <w:rFonts w:ascii="Tahoma" w:hAnsi="Tahoma" w:cs="Tahoma"/>
          <w:b/>
          <w:bCs/>
        </w:rPr>
        <w:t xml:space="preserve">Oggetto: </w:t>
      </w:r>
      <w:r w:rsidR="00EF0A09" w:rsidRPr="00701DBB">
        <w:rPr>
          <w:rFonts w:ascii="Tahoma" w:hAnsi="Tahoma" w:cs="Tahoma"/>
          <w:b/>
          <w:bCs/>
          <w:i/>
          <w:iCs/>
        </w:rPr>
        <w:t>Lavori ………………….. CIG ………….. CUP …………..</w:t>
      </w:r>
      <w:r w:rsidR="00EF0A09" w:rsidRPr="00701DBB">
        <w:rPr>
          <w:rFonts w:ascii="Tahoma" w:hAnsi="Tahoma" w:cs="Tahoma"/>
          <w:b/>
          <w:bCs/>
        </w:rPr>
        <w:t xml:space="preserve"> - </w:t>
      </w:r>
      <w:r w:rsidR="002016AF" w:rsidRPr="00701DBB">
        <w:rPr>
          <w:rFonts w:ascii="Tahoma" w:hAnsi="Tahoma" w:cs="Tahoma"/>
          <w:b/>
          <w:bCs/>
          <w:i/>
          <w:iCs/>
        </w:rPr>
        <w:t>Eccezionale incremento delle materie prime, indisponibilità di materiali da costruzione e conseguenze del conflitto bellico Russo-Ucraino – Criticità operative</w:t>
      </w:r>
    </w:p>
    <w:p w14:paraId="35F0ABF3" w14:textId="77777777" w:rsidR="002016AF" w:rsidRPr="00701DBB" w:rsidRDefault="002016AF" w:rsidP="00DC15D9">
      <w:pPr>
        <w:spacing w:after="0" w:line="240" w:lineRule="auto"/>
        <w:jc w:val="both"/>
        <w:rPr>
          <w:rFonts w:ascii="Tahoma" w:hAnsi="Tahoma" w:cs="Tahoma"/>
          <w:b/>
          <w:bCs/>
          <w:i/>
          <w:iCs/>
        </w:rPr>
      </w:pPr>
    </w:p>
    <w:p w14:paraId="1BD836DB" w14:textId="77777777" w:rsidR="00DC15D9" w:rsidRPr="00701DBB" w:rsidRDefault="00DC15D9" w:rsidP="00DC15D9">
      <w:pPr>
        <w:spacing w:after="0" w:line="240" w:lineRule="auto"/>
        <w:jc w:val="both"/>
        <w:rPr>
          <w:rFonts w:ascii="Tahoma" w:hAnsi="Tahoma" w:cs="Tahoma"/>
        </w:rPr>
      </w:pPr>
    </w:p>
    <w:p w14:paraId="245036AD" w14:textId="77777777" w:rsidR="002016AF" w:rsidRPr="00701DBB" w:rsidRDefault="002016AF" w:rsidP="002016AF">
      <w:pPr>
        <w:widowControl w:val="0"/>
        <w:suppressAutoHyphens/>
        <w:spacing w:after="0" w:line="260" w:lineRule="exact"/>
        <w:jc w:val="both"/>
        <w:rPr>
          <w:rFonts w:ascii="Tahoma" w:eastAsia="SimSun" w:hAnsi="Tahoma" w:cs="Tahoma"/>
          <w:kern w:val="2"/>
          <w:lang w:eastAsia="zh-CN" w:bidi="hi-IN"/>
        </w:rPr>
      </w:pPr>
    </w:p>
    <w:p w14:paraId="095DADEB" w14:textId="1127016C" w:rsidR="002C4960" w:rsidRPr="00701DBB" w:rsidRDefault="002016AF" w:rsidP="002016AF">
      <w:pPr>
        <w:widowControl w:val="0"/>
        <w:suppressAutoHyphens/>
        <w:spacing w:after="0" w:line="260" w:lineRule="exact"/>
        <w:jc w:val="both"/>
        <w:rPr>
          <w:rFonts w:ascii="Tahoma" w:eastAsia="SimSun" w:hAnsi="Tahoma" w:cs="Tahoma"/>
          <w:kern w:val="2"/>
          <w:lang w:eastAsia="zh-CN" w:bidi="hi-IN"/>
        </w:rPr>
      </w:pPr>
      <w:r w:rsidRPr="00701DBB">
        <w:rPr>
          <w:rFonts w:ascii="Tahoma" w:eastAsia="SimSun" w:hAnsi="Tahoma" w:cs="Tahoma"/>
          <w:kern w:val="2"/>
          <w:lang w:eastAsia="zh-CN" w:bidi="hi-IN"/>
        </w:rPr>
        <w:t xml:space="preserve">Con la presente, </w:t>
      </w:r>
      <w:r w:rsidR="002C4960" w:rsidRPr="00701DBB">
        <w:rPr>
          <w:rFonts w:ascii="Tahoma" w:eastAsia="SimSun" w:hAnsi="Tahoma" w:cs="Tahoma"/>
          <w:kern w:val="2"/>
          <w:lang w:eastAsia="zh-CN" w:bidi="hi-IN"/>
        </w:rPr>
        <w:t>la scrivente Impresa……………….</w:t>
      </w:r>
      <w:r w:rsidR="00EF0A09" w:rsidRPr="00701DBB">
        <w:rPr>
          <w:rFonts w:ascii="Tahoma" w:eastAsia="SimSun" w:hAnsi="Tahoma" w:cs="Tahoma"/>
          <w:kern w:val="2"/>
          <w:lang w:eastAsia="zh-CN" w:bidi="hi-IN"/>
        </w:rPr>
        <w:t xml:space="preserve"> </w:t>
      </w:r>
      <w:r w:rsidR="002C4960" w:rsidRPr="00701DBB">
        <w:rPr>
          <w:rFonts w:ascii="Tahoma" w:eastAsia="SimSun" w:hAnsi="Tahoma" w:cs="Tahoma"/>
          <w:kern w:val="2"/>
          <w:lang w:eastAsia="zh-CN" w:bidi="hi-IN"/>
        </w:rPr>
        <w:t>intende</w:t>
      </w:r>
      <w:r w:rsidRPr="00701DBB">
        <w:rPr>
          <w:rFonts w:ascii="Tahoma" w:eastAsia="SimSun" w:hAnsi="Tahoma" w:cs="Tahoma"/>
          <w:kern w:val="2"/>
          <w:lang w:eastAsia="zh-CN" w:bidi="hi-IN"/>
        </w:rPr>
        <w:t xml:space="preserve"> ribadire </w:t>
      </w:r>
      <w:r w:rsidR="002C4960" w:rsidRPr="00701DBB">
        <w:rPr>
          <w:rFonts w:ascii="Tahoma" w:eastAsia="SimSun" w:hAnsi="Tahoma" w:cs="Tahoma"/>
          <w:kern w:val="2"/>
          <w:lang w:eastAsia="zh-CN" w:bidi="hi-IN"/>
        </w:rPr>
        <w:t>la sussistenza di forti c</w:t>
      </w:r>
      <w:r w:rsidRPr="00701DBB">
        <w:rPr>
          <w:rFonts w:ascii="Tahoma" w:eastAsia="SimSun" w:hAnsi="Tahoma" w:cs="Tahoma"/>
          <w:kern w:val="2"/>
          <w:lang w:eastAsia="zh-CN" w:bidi="hi-IN"/>
        </w:rPr>
        <w:t>riticità operative</w:t>
      </w:r>
      <w:r w:rsidR="00D901A7" w:rsidRPr="00701DBB">
        <w:rPr>
          <w:rFonts w:ascii="Tahoma" w:eastAsia="SimSun" w:hAnsi="Tahoma" w:cs="Tahoma"/>
          <w:kern w:val="2"/>
          <w:lang w:eastAsia="zh-CN" w:bidi="hi-IN"/>
        </w:rPr>
        <w:t xml:space="preserve"> sul normale andamento delle attività del cantiere in oggetto,</w:t>
      </w:r>
      <w:r w:rsidR="002C4960" w:rsidRPr="00701DBB">
        <w:rPr>
          <w:rFonts w:ascii="Tahoma" w:eastAsia="SimSun" w:hAnsi="Tahoma" w:cs="Tahoma"/>
          <w:kern w:val="2"/>
          <w:lang w:eastAsia="zh-CN" w:bidi="hi-IN"/>
        </w:rPr>
        <w:t xml:space="preserve"> a seguito dei </w:t>
      </w:r>
      <w:r w:rsidRPr="00701DBB">
        <w:rPr>
          <w:rFonts w:ascii="Tahoma" w:eastAsia="SimSun" w:hAnsi="Tahoma" w:cs="Tahoma"/>
          <w:kern w:val="2"/>
          <w:lang w:eastAsia="zh-CN" w:bidi="hi-IN"/>
        </w:rPr>
        <w:t>numerosi eventi legati al contesto economico e geopolitico internazionale</w:t>
      </w:r>
      <w:r w:rsidR="002C4960" w:rsidRPr="00701DBB">
        <w:rPr>
          <w:rFonts w:ascii="Tahoma" w:eastAsia="SimSun" w:hAnsi="Tahoma" w:cs="Tahoma"/>
          <w:kern w:val="2"/>
          <w:lang w:eastAsia="zh-CN" w:bidi="hi-IN"/>
        </w:rPr>
        <w:t>.</w:t>
      </w:r>
    </w:p>
    <w:p w14:paraId="2E01B43B" w14:textId="77777777" w:rsidR="002C4960" w:rsidRPr="00701DBB" w:rsidRDefault="002C4960" w:rsidP="002016AF">
      <w:pPr>
        <w:widowControl w:val="0"/>
        <w:suppressAutoHyphens/>
        <w:spacing w:after="0" w:line="260" w:lineRule="exact"/>
        <w:jc w:val="both"/>
        <w:rPr>
          <w:rFonts w:ascii="Tahoma" w:eastAsia="SimSun" w:hAnsi="Tahoma" w:cs="Tahoma"/>
          <w:kern w:val="2"/>
          <w:lang w:eastAsia="zh-CN" w:bidi="hi-IN"/>
        </w:rPr>
      </w:pPr>
    </w:p>
    <w:p w14:paraId="2A3107A2" w14:textId="037543D1" w:rsidR="002016AF" w:rsidRPr="00701DBB" w:rsidRDefault="00085E20" w:rsidP="002016AF">
      <w:pPr>
        <w:widowControl w:val="0"/>
        <w:suppressAutoHyphens/>
        <w:spacing w:after="0" w:line="260" w:lineRule="exact"/>
        <w:jc w:val="both"/>
        <w:rPr>
          <w:rFonts w:ascii="Tahoma" w:eastAsia="SimSun" w:hAnsi="Tahoma" w:cs="Tahoma"/>
          <w:kern w:val="2"/>
          <w:lang w:eastAsia="zh-CN" w:bidi="hi-IN"/>
        </w:rPr>
      </w:pPr>
      <w:r w:rsidRPr="00701DBB">
        <w:rPr>
          <w:rFonts w:ascii="Tahoma" w:eastAsia="SimSun" w:hAnsi="Tahoma" w:cs="Tahoma"/>
          <w:kern w:val="2"/>
          <w:lang w:eastAsia="zh-CN" w:bidi="hi-IN"/>
        </w:rPr>
        <w:t>In particolare</w:t>
      </w:r>
      <w:r w:rsidR="00701DBB">
        <w:rPr>
          <w:rFonts w:ascii="Tahoma" w:eastAsia="SimSun" w:hAnsi="Tahoma" w:cs="Tahoma"/>
          <w:kern w:val="2"/>
          <w:lang w:eastAsia="zh-CN" w:bidi="hi-IN"/>
        </w:rPr>
        <w:t>, si evidenzia che</w:t>
      </w:r>
    </w:p>
    <w:p w14:paraId="36A03793" w14:textId="77777777" w:rsidR="00085E20" w:rsidRPr="00701DBB" w:rsidRDefault="00085E20" w:rsidP="002016AF">
      <w:pPr>
        <w:widowControl w:val="0"/>
        <w:suppressAutoHyphens/>
        <w:spacing w:after="0" w:line="260" w:lineRule="exact"/>
        <w:jc w:val="both"/>
        <w:rPr>
          <w:rFonts w:ascii="Tahoma" w:eastAsia="SimSun" w:hAnsi="Tahoma" w:cs="Tahoma"/>
          <w:kern w:val="2"/>
          <w:lang w:eastAsia="zh-CN" w:bidi="hi-IN"/>
        </w:rPr>
      </w:pPr>
    </w:p>
    <w:p w14:paraId="1AB38972" w14:textId="77777777" w:rsidR="00085E20" w:rsidRPr="00085E20" w:rsidRDefault="00085E20" w:rsidP="00085E20">
      <w:pPr>
        <w:numPr>
          <w:ilvl w:val="0"/>
          <w:numId w:val="26"/>
        </w:numPr>
        <w:spacing w:after="200" w:line="240" w:lineRule="auto"/>
        <w:ind w:left="357" w:hanging="357"/>
        <w:contextualSpacing/>
        <w:jc w:val="both"/>
        <w:rPr>
          <w:rFonts w:ascii="Tahoma" w:eastAsia="Calibri" w:hAnsi="Tahoma" w:cs="Tahoma"/>
          <w:bCs/>
        </w:rPr>
      </w:pPr>
      <w:r w:rsidRPr="00085E20">
        <w:rPr>
          <w:rFonts w:ascii="Tahoma" w:eastAsia="Calibri" w:hAnsi="Tahoma" w:cs="Tahoma"/>
        </w:rPr>
        <w:t>sono in atto pregiudizievoli fenomeni inflattivi e difficoltà di approvvigionamento delle materie prime, che stanno producendo straordinari incrementi dei prezzi di acquisto praticati dalle aziende fornitrici, nazionali ed estere;</w:t>
      </w:r>
    </w:p>
    <w:p w14:paraId="74AC9CDF" w14:textId="77777777" w:rsidR="00085E20" w:rsidRPr="00085E20" w:rsidRDefault="00085E20" w:rsidP="00085E20">
      <w:pPr>
        <w:spacing w:after="200" w:line="240" w:lineRule="auto"/>
        <w:ind w:left="357"/>
        <w:contextualSpacing/>
        <w:jc w:val="both"/>
        <w:rPr>
          <w:rFonts w:ascii="Tahoma" w:eastAsia="Calibri" w:hAnsi="Tahoma" w:cs="Tahoma"/>
          <w:bCs/>
        </w:rPr>
      </w:pPr>
    </w:p>
    <w:p w14:paraId="1D0B1BA3" w14:textId="12E89468" w:rsidR="00085E20" w:rsidRPr="00085E20" w:rsidRDefault="00701DBB" w:rsidP="00085E20">
      <w:pPr>
        <w:numPr>
          <w:ilvl w:val="0"/>
          <w:numId w:val="26"/>
        </w:numPr>
        <w:spacing w:after="0" w:line="240" w:lineRule="auto"/>
        <w:contextualSpacing/>
        <w:jc w:val="both"/>
        <w:rPr>
          <w:rFonts w:ascii="Tahoma" w:eastAsia="Calibri" w:hAnsi="Tahoma" w:cs="Tahoma"/>
        </w:rPr>
      </w:pPr>
      <w:r>
        <w:rPr>
          <w:rFonts w:ascii="Tahoma" w:eastAsia="Calibri" w:hAnsi="Tahoma" w:cs="Tahoma"/>
        </w:rPr>
        <w:t>segnatamente</w:t>
      </w:r>
      <w:r w:rsidR="00085E20" w:rsidRPr="00085E20">
        <w:rPr>
          <w:rFonts w:ascii="Tahoma" w:eastAsia="Calibri" w:hAnsi="Tahoma" w:cs="Tahoma"/>
        </w:rPr>
        <w:t>, a partire dagli ultimi mesi del 2020, si registra un eccezionale aumento dei prezzi dell</w:t>
      </w:r>
      <w:r w:rsidR="00085E20" w:rsidRPr="00085E20">
        <w:rPr>
          <w:rFonts w:ascii="Tahoma" w:eastAsia="Calibri" w:hAnsi="Tahoma" w:cs="Tahoma"/>
          <w:b/>
          <w:bCs/>
        </w:rPr>
        <w:t>’acciaio, del cemento, dei prodotti petroliferi, del rame, dei materiali plastici e dei loro derivati</w:t>
      </w:r>
      <w:r w:rsidR="00085E20" w:rsidRPr="00085E20">
        <w:rPr>
          <w:rFonts w:ascii="Tahoma" w:eastAsia="Calibri" w:hAnsi="Tahoma" w:cs="Tahoma"/>
        </w:rPr>
        <w:t>, solo per citarne alcuni, con una vertiginosa impennata dei relativi costi che sta determinando un’alterazione dell’equilibrio contrattuale;</w:t>
      </w:r>
    </w:p>
    <w:p w14:paraId="4E30032C" w14:textId="77777777" w:rsidR="00085E20" w:rsidRPr="00085E20" w:rsidRDefault="00085E20" w:rsidP="00085E20">
      <w:pPr>
        <w:spacing w:line="256" w:lineRule="auto"/>
        <w:ind w:left="720"/>
        <w:contextualSpacing/>
        <w:rPr>
          <w:rFonts w:ascii="Tahoma" w:eastAsia="Calibri" w:hAnsi="Tahoma" w:cs="Tahoma"/>
        </w:rPr>
      </w:pPr>
    </w:p>
    <w:p w14:paraId="22F6895A" w14:textId="77777777" w:rsidR="00085E20" w:rsidRPr="00085E20" w:rsidRDefault="00085E20" w:rsidP="00085E20">
      <w:pPr>
        <w:numPr>
          <w:ilvl w:val="0"/>
          <w:numId w:val="26"/>
        </w:numPr>
        <w:spacing w:after="0" w:line="240" w:lineRule="auto"/>
        <w:contextualSpacing/>
        <w:jc w:val="both"/>
        <w:rPr>
          <w:rFonts w:ascii="Tahoma" w:eastAsia="Calibri" w:hAnsi="Tahoma" w:cs="Tahoma"/>
        </w:rPr>
      </w:pPr>
      <w:r w:rsidRPr="00085E20">
        <w:rPr>
          <w:rFonts w:ascii="Tahoma" w:eastAsia="Calibri" w:hAnsi="Tahoma" w:cs="Tahoma"/>
        </w:rPr>
        <w:t xml:space="preserve">a ciò si aggiunge un rincaro straordinario dei costi </w:t>
      </w:r>
      <w:r w:rsidRPr="00085E20">
        <w:rPr>
          <w:rFonts w:ascii="Tahoma" w:eastAsia="Calibri" w:hAnsi="Tahoma" w:cs="Tahoma"/>
          <w:b/>
          <w:bCs/>
        </w:rPr>
        <w:t>dell’energia elettrica, del gas e del petrolio</w:t>
      </w:r>
      <w:r w:rsidRPr="00085E20">
        <w:rPr>
          <w:rFonts w:ascii="Tahoma" w:eastAsia="Calibri" w:hAnsi="Tahoma" w:cs="Tahoma"/>
        </w:rPr>
        <w:t xml:space="preserve">, che, iniziato dalla seconda metà del 2021 si è ulteriormente aggravato a causa delle note vicende del </w:t>
      </w:r>
      <w:r w:rsidRPr="00085E20">
        <w:rPr>
          <w:rFonts w:ascii="Tahoma" w:eastAsia="Calibri" w:hAnsi="Tahoma" w:cs="Tahoma"/>
          <w:b/>
          <w:bCs/>
        </w:rPr>
        <w:t xml:space="preserve">conflitto russo-ucraino, </w:t>
      </w:r>
      <w:r w:rsidRPr="00085E20">
        <w:rPr>
          <w:rFonts w:ascii="Tahoma" w:eastAsia="Calibri" w:hAnsi="Tahoma" w:cs="Tahoma"/>
        </w:rPr>
        <w:t xml:space="preserve">e ha indotto il Governo e le istituzioni a descrivere lo scenario nazionale in termini di </w:t>
      </w:r>
      <w:r w:rsidRPr="00085E20">
        <w:rPr>
          <w:rFonts w:ascii="Tahoma" w:eastAsia="Calibri" w:hAnsi="Tahoma" w:cs="Tahoma"/>
          <w:b/>
          <w:bCs/>
        </w:rPr>
        <w:t>economia di guerra</w:t>
      </w:r>
      <w:r w:rsidRPr="00085E20">
        <w:rPr>
          <w:rFonts w:ascii="Tahoma" w:eastAsia="Calibri" w:hAnsi="Tahoma" w:cs="Tahoma"/>
        </w:rPr>
        <w:t xml:space="preserve">. </w:t>
      </w:r>
    </w:p>
    <w:p w14:paraId="66FFF76B" w14:textId="77777777" w:rsidR="00085E20" w:rsidRPr="00085E20" w:rsidRDefault="00085E20" w:rsidP="00085E20">
      <w:pPr>
        <w:spacing w:line="256" w:lineRule="auto"/>
        <w:ind w:left="720"/>
        <w:contextualSpacing/>
        <w:rPr>
          <w:rFonts w:ascii="Tahoma" w:eastAsia="Calibri" w:hAnsi="Tahoma" w:cs="Tahoma"/>
        </w:rPr>
      </w:pPr>
    </w:p>
    <w:p w14:paraId="04C3A6C8" w14:textId="77777777" w:rsidR="00085E20" w:rsidRPr="00085E20" w:rsidRDefault="00085E20" w:rsidP="00085E20">
      <w:pPr>
        <w:numPr>
          <w:ilvl w:val="0"/>
          <w:numId w:val="26"/>
        </w:numPr>
        <w:spacing w:line="256" w:lineRule="auto"/>
        <w:contextualSpacing/>
        <w:jc w:val="both"/>
        <w:rPr>
          <w:rFonts w:ascii="Tahoma" w:eastAsia="Calibri" w:hAnsi="Tahoma" w:cs="Tahoma"/>
          <w:b/>
          <w:bCs/>
        </w:rPr>
      </w:pPr>
      <w:r w:rsidRPr="00085E20">
        <w:rPr>
          <w:rFonts w:ascii="Tahoma" w:eastAsia="Calibri" w:hAnsi="Tahoma" w:cs="Tahoma"/>
        </w:rPr>
        <w:lastRenderedPageBreak/>
        <w:t xml:space="preserve"> nel corso delle ultime settimane è in corso un ulteriore, repentino ed incontrollabile aumento dei prezzi di diverse materie prime e fonti di energia, tale da rendere </w:t>
      </w:r>
      <w:r w:rsidRPr="00085E20">
        <w:rPr>
          <w:rFonts w:ascii="Tahoma" w:eastAsia="Calibri" w:hAnsi="Tahoma" w:cs="Tahoma"/>
          <w:b/>
          <w:bCs/>
        </w:rPr>
        <w:t>ingestibile la situazione nei cantieri;</w:t>
      </w:r>
    </w:p>
    <w:p w14:paraId="60E1F124" w14:textId="77777777" w:rsidR="00085E20" w:rsidRPr="00085E20" w:rsidRDefault="00085E20" w:rsidP="00085E20">
      <w:pPr>
        <w:spacing w:line="256" w:lineRule="auto"/>
        <w:ind w:left="720"/>
        <w:contextualSpacing/>
        <w:rPr>
          <w:rFonts w:ascii="Tahoma" w:eastAsia="Calibri" w:hAnsi="Tahoma" w:cs="Tahoma"/>
          <w:b/>
          <w:bCs/>
        </w:rPr>
      </w:pPr>
    </w:p>
    <w:p w14:paraId="56ECCB8B" w14:textId="77777777" w:rsidR="00085E20" w:rsidRPr="00085E20" w:rsidRDefault="00085E20" w:rsidP="00085E20">
      <w:pPr>
        <w:numPr>
          <w:ilvl w:val="0"/>
          <w:numId w:val="26"/>
        </w:numPr>
        <w:spacing w:after="0" w:line="240" w:lineRule="auto"/>
        <w:contextualSpacing/>
        <w:jc w:val="both"/>
        <w:rPr>
          <w:rFonts w:ascii="Tahoma" w:eastAsia="Calibri" w:hAnsi="Tahoma" w:cs="Tahoma"/>
        </w:rPr>
      </w:pPr>
      <w:r w:rsidRPr="00085E20">
        <w:rPr>
          <w:rFonts w:ascii="Tahoma" w:eastAsia="Calibri" w:hAnsi="Tahoma" w:cs="Tahoma"/>
        </w:rPr>
        <w:t>i principali centri di trasformazione siderurgici, impianti per la produzione di laterizi, conglomerati bituminosi, conglomerati cementizi, isolanti, materie plastiche, prodotti ceramici ed in generale di tutti i materiali utilizzabili in edilizia hanno sospeso o stanno decidendo di sospendere l’attività;</w:t>
      </w:r>
    </w:p>
    <w:p w14:paraId="554968B0" w14:textId="77777777" w:rsidR="00085E20" w:rsidRPr="00085E20" w:rsidRDefault="00085E20" w:rsidP="00085E20">
      <w:pPr>
        <w:spacing w:after="0" w:line="240" w:lineRule="auto"/>
        <w:ind w:left="360"/>
        <w:contextualSpacing/>
        <w:jc w:val="both"/>
        <w:rPr>
          <w:rFonts w:ascii="Tahoma" w:eastAsia="Calibri" w:hAnsi="Tahoma" w:cs="Tahoma"/>
        </w:rPr>
      </w:pPr>
    </w:p>
    <w:p w14:paraId="7C4215EE" w14:textId="77777777" w:rsidR="00085E20" w:rsidRPr="00085E20" w:rsidRDefault="00085E20" w:rsidP="00085E20">
      <w:pPr>
        <w:numPr>
          <w:ilvl w:val="0"/>
          <w:numId w:val="27"/>
        </w:numPr>
        <w:spacing w:after="0" w:line="240" w:lineRule="auto"/>
        <w:contextualSpacing/>
        <w:jc w:val="both"/>
        <w:rPr>
          <w:rFonts w:ascii="Tahoma" w:eastAsia="Calibri" w:hAnsi="Tahoma" w:cs="Tahoma"/>
        </w:rPr>
      </w:pPr>
      <w:r w:rsidRPr="00085E20">
        <w:rPr>
          <w:rFonts w:ascii="Tahoma" w:eastAsia="Calibri" w:hAnsi="Tahoma" w:cs="Tahoma"/>
          <w:bCs/>
        </w:rPr>
        <w:t xml:space="preserve">tali improvvise circostanze hanno determinato, e stanno continuando a determinare, un </w:t>
      </w:r>
      <w:r w:rsidRPr="00085E20">
        <w:rPr>
          <w:rFonts w:ascii="Tahoma" w:eastAsia="Calibri" w:hAnsi="Tahoma" w:cs="Tahoma"/>
          <w:b/>
          <w:bCs/>
        </w:rPr>
        <w:t>eccezionale restringimento delle importazioni</w:t>
      </w:r>
      <w:r w:rsidRPr="00085E20">
        <w:rPr>
          <w:rFonts w:ascii="Tahoma" w:eastAsia="Calibri" w:hAnsi="Tahoma" w:cs="Tahoma"/>
          <w:bCs/>
        </w:rPr>
        <w:t xml:space="preserve"> delle principali materie prime dai mercati esteri di riferimento e, in particolare, da quello cinese, oltre che una variazione in aumento dei prezzi di tutti i materiali da costruzione;</w:t>
      </w:r>
      <w:r w:rsidRPr="00085E20">
        <w:rPr>
          <w:rFonts w:ascii="Tahoma" w:eastAsia="Calibri" w:hAnsi="Tahoma" w:cs="Tahoma"/>
        </w:rPr>
        <w:t xml:space="preserve"> </w:t>
      </w:r>
    </w:p>
    <w:p w14:paraId="0E503E2E" w14:textId="77777777" w:rsidR="00085E20" w:rsidRPr="00085E20" w:rsidRDefault="00085E20" w:rsidP="00085E20">
      <w:pPr>
        <w:spacing w:line="256" w:lineRule="auto"/>
        <w:ind w:left="720"/>
        <w:contextualSpacing/>
        <w:rPr>
          <w:rFonts w:ascii="Tahoma" w:eastAsia="Calibri" w:hAnsi="Tahoma" w:cs="Tahoma"/>
        </w:rPr>
      </w:pPr>
    </w:p>
    <w:p w14:paraId="376E21C9" w14:textId="77777777" w:rsidR="00085E20" w:rsidRPr="00085E20" w:rsidRDefault="00085E20" w:rsidP="00085E20">
      <w:pPr>
        <w:numPr>
          <w:ilvl w:val="0"/>
          <w:numId w:val="27"/>
        </w:numPr>
        <w:spacing w:after="0" w:line="240" w:lineRule="auto"/>
        <w:contextualSpacing/>
        <w:jc w:val="both"/>
        <w:rPr>
          <w:rFonts w:ascii="Tahoma" w:eastAsia="Calibri" w:hAnsi="Tahoma" w:cs="Tahoma"/>
        </w:rPr>
      </w:pPr>
      <w:r w:rsidRPr="00085E20">
        <w:rPr>
          <w:rFonts w:ascii="Tahoma" w:eastAsia="Calibri" w:hAnsi="Tahoma" w:cs="Tahoma"/>
        </w:rPr>
        <w:t xml:space="preserve">è in corso un micidiale </w:t>
      </w:r>
      <w:r w:rsidRPr="00085E20">
        <w:rPr>
          <w:rFonts w:ascii="Tahoma" w:eastAsia="Calibri" w:hAnsi="Tahoma" w:cs="Tahoma"/>
          <w:b/>
          <w:bCs/>
        </w:rPr>
        <w:t>effetto domino</w:t>
      </w:r>
      <w:r w:rsidRPr="00085E20">
        <w:rPr>
          <w:rFonts w:ascii="Tahoma" w:eastAsia="Calibri" w:hAnsi="Tahoma" w:cs="Tahoma"/>
        </w:rPr>
        <w:t xml:space="preserve">, tale per cui i </w:t>
      </w:r>
      <w:r w:rsidRPr="00085E20">
        <w:rPr>
          <w:rFonts w:ascii="Tahoma" w:eastAsia="Calibri" w:hAnsi="Tahoma" w:cs="Tahoma"/>
          <w:b/>
          <w:bCs/>
        </w:rPr>
        <w:t>fornitori e/o i subappaltatori stanno revocando gli impegni contrattuali a suo tempo assunti,</w:t>
      </w:r>
      <w:r w:rsidRPr="00085E20">
        <w:rPr>
          <w:rFonts w:ascii="Tahoma" w:eastAsia="Calibri" w:hAnsi="Tahoma" w:cs="Tahoma"/>
        </w:rPr>
        <w:t xml:space="preserve"> in quanto non più in grado di onorarli alle condizioni ivi stabiliti, se non aumentando enormemente i preventivi;</w:t>
      </w:r>
    </w:p>
    <w:p w14:paraId="1712E2E8" w14:textId="77777777" w:rsidR="00085E20" w:rsidRPr="00085E20" w:rsidRDefault="00085E20" w:rsidP="00085E20">
      <w:pPr>
        <w:spacing w:line="256" w:lineRule="auto"/>
        <w:ind w:left="720"/>
        <w:contextualSpacing/>
        <w:rPr>
          <w:rFonts w:ascii="Tahoma" w:eastAsia="Calibri" w:hAnsi="Tahoma" w:cs="Tahoma"/>
        </w:rPr>
      </w:pPr>
    </w:p>
    <w:p w14:paraId="4A978B50" w14:textId="77777777" w:rsidR="00085E20" w:rsidRPr="00085E20" w:rsidRDefault="00085E20" w:rsidP="00085E20">
      <w:pPr>
        <w:numPr>
          <w:ilvl w:val="0"/>
          <w:numId w:val="28"/>
        </w:numPr>
        <w:spacing w:after="0" w:line="240" w:lineRule="auto"/>
        <w:contextualSpacing/>
        <w:jc w:val="both"/>
        <w:rPr>
          <w:rFonts w:ascii="Tahoma" w:eastAsia="Calibri" w:hAnsi="Tahoma" w:cs="Tahoma"/>
        </w:rPr>
      </w:pPr>
      <w:r w:rsidRPr="00085E20">
        <w:rPr>
          <w:rFonts w:ascii="Tahoma" w:eastAsia="Calibri" w:hAnsi="Tahoma" w:cs="Tahoma"/>
        </w:rPr>
        <w:t xml:space="preserve">le predette restrizioni stanno provocando anche la </w:t>
      </w:r>
      <w:r w:rsidRPr="00085E20">
        <w:rPr>
          <w:rFonts w:ascii="Tahoma" w:eastAsia="Calibri" w:hAnsi="Tahoma" w:cs="Tahoma"/>
          <w:b/>
        </w:rPr>
        <w:t>sostanziale irreperibilità</w:t>
      </w:r>
      <w:r w:rsidRPr="00085E20">
        <w:rPr>
          <w:rFonts w:ascii="Tahoma" w:eastAsia="Calibri" w:hAnsi="Tahoma" w:cs="Tahoma"/>
        </w:rPr>
        <w:t xml:space="preserve">, sia sul mercato comunitario che nazionale, </w:t>
      </w:r>
      <w:r w:rsidRPr="00085E20">
        <w:rPr>
          <w:rFonts w:ascii="Tahoma" w:eastAsia="Calibri" w:hAnsi="Tahoma" w:cs="Tahoma"/>
          <w:b/>
        </w:rPr>
        <w:t>di alcuni materiali</w:t>
      </w:r>
      <w:r w:rsidRPr="00085E20">
        <w:rPr>
          <w:rFonts w:ascii="Tahoma" w:eastAsia="Calibri" w:hAnsi="Tahoma" w:cs="Tahoma"/>
        </w:rPr>
        <w:t xml:space="preserve"> di cruciale importanza, quali i prodotti derivanti dalla lavorazione del petrolio (materiali bituminosi e isolanti) e del ferro.</w:t>
      </w:r>
    </w:p>
    <w:p w14:paraId="32C85C46" w14:textId="77777777" w:rsidR="00085E20" w:rsidRPr="00085E20" w:rsidRDefault="00085E20" w:rsidP="00085E20">
      <w:pPr>
        <w:spacing w:line="256" w:lineRule="auto"/>
        <w:ind w:left="720"/>
        <w:contextualSpacing/>
        <w:rPr>
          <w:rFonts w:ascii="Tahoma" w:eastAsia="Calibri" w:hAnsi="Tahoma" w:cs="Tahoma"/>
        </w:rPr>
      </w:pPr>
    </w:p>
    <w:p w14:paraId="4B45C42A" w14:textId="77777777" w:rsidR="00B82A48" w:rsidRDefault="00085E20" w:rsidP="007E7B05">
      <w:pPr>
        <w:numPr>
          <w:ilvl w:val="0"/>
          <w:numId w:val="28"/>
        </w:numPr>
        <w:spacing w:after="0" w:line="240" w:lineRule="auto"/>
        <w:contextualSpacing/>
        <w:jc w:val="both"/>
        <w:rPr>
          <w:rFonts w:ascii="Tahoma" w:eastAsia="Calibri" w:hAnsi="Tahoma" w:cs="Tahoma"/>
        </w:rPr>
      </w:pPr>
      <w:r w:rsidRPr="00085E20">
        <w:rPr>
          <w:rFonts w:ascii="Tahoma" w:eastAsia="Calibri" w:hAnsi="Tahoma" w:cs="Tahoma"/>
        </w:rPr>
        <w:t xml:space="preserve">vieppiù, il </w:t>
      </w:r>
      <w:r w:rsidRPr="00085E20">
        <w:rPr>
          <w:rFonts w:ascii="Tahoma" w:eastAsia="Calibri" w:hAnsi="Tahoma" w:cs="Tahoma"/>
          <w:b/>
          <w:bCs/>
        </w:rPr>
        <w:t>rincaro dei costi dell’energia, gas e petrolio</w:t>
      </w:r>
      <w:r w:rsidRPr="00085E20">
        <w:rPr>
          <w:rFonts w:ascii="Tahoma" w:eastAsia="Calibri" w:hAnsi="Tahoma" w:cs="Tahoma"/>
        </w:rPr>
        <w:t xml:space="preserve"> sta producendo enormi problemi sulla circolazione/trasporto sul territorio nazionale di qualunque tipo di merce, di fatto conducendo ad un sostanziale blocco dei principali vettori, con l’effetto di aggravare ulteriormente le difficoltà, già presenti, di reperimento dei materiali da costruzione; </w:t>
      </w:r>
    </w:p>
    <w:p w14:paraId="4E834E4E" w14:textId="77777777" w:rsidR="00B82A48" w:rsidRDefault="00B82A48" w:rsidP="00B82A48">
      <w:pPr>
        <w:pStyle w:val="Paragrafoelenco"/>
        <w:rPr>
          <w:rFonts w:ascii="Tahoma" w:eastAsia="Calibri" w:hAnsi="Tahoma" w:cs="Tahoma"/>
        </w:rPr>
      </w:pPr>
    </w:p>
    <w:p w14:paraId="22778C87" w14:textId="201729BC" w:rsidR="00B82A48" w:rsidRPr="00B82A48" w:rsidRDefault="00B82A48" w:rsidP="007E7B05">
      <w:pPr>
        <w:numPr>
          <w:ilvl w:val="0"/>
          <w:numId w:val="28"/>
        </w:numPr>
        <w:spacing w:after="0" w:line="240" w:lineRule="auto"/>
        <w:contextualSpacing/>
        <w:jc w:val="both"/>
        <w:rPr>
          <w:rFonts w:ascii="Tahoma" w:eastAsia="Calibri" w:hAnsi="Tahoma" w:cs="Tahoma"/>
        </w:rPr>
      </w:pPr>
      <w:r w:rsidRPr="00B82A48">
        <w:rPr>
          <w:rFonts w:ascii="Tahoma" w:eastAsia="Calibri" w:hAnsi="Tahoma" w:cs="Tahoma"/>
        </w:rPr>
        <w:t>a</w:t>
      </w:r>
      <w:r>
        <w:rPr>
          <w:rFonts w:ascii="Tahoma" w:eastAsia="Calibri" w:hAnsi="Tahoma" w:cs="Tahoma"/>
        </w:rPr>
        <w:t xml:space="preserve"> </w:t>
      </w:r>
      <w:r w:rsidRPr="00B82A48">
        <w:rPr>
          <w:rFonts w:ascii="Tahoma" w:eastAsia="Calibri" w:hAnsi="Tahoma" w:cs="Tahoma"/>
        </w:rPr>
        <w:t xml:space="preserve">rendere ancora più critico tale </w:t>
      </w:r>
      <w:r>
        <w:rPr>
          <w:rFonts w:ascii="Tahoma" w:eastAsia="Calibri" w:hAnsi="Tahoma" w:cs="Tahoma"/>
        </w:rPr>
        <w:t>scenario emergenziale</w:t>
      </w:r>
      <w:r w:rsidRPr="00B82A48">
        <w:rPr>
          <w:rFonts w:ascii="Tahoma" w:eastAsia="Calibri" w:hAnsi="Tahoma" w:cs="Tahoma"/>
        </w:rPr>
        <w:t xml:space="preserve">, vi è </w:t>
      </w:r>
      <w:r w:rsidRPr="00B82A48">
        <w:rPr>
          <w:rFonts w:ascii="Tahoma" w:eastAsia="Calibri" w:hAnsi="Tahoma" w:cs="Tahoma"/>
          <w:b/>
          <w:bCs/>
        </w:rPr>
        <w:t>la grave situazione del mercato creditizio</w:t>
      </w:r>
      <w:r w:rsidRPr="00B82A48">
        <w:rPr>
          <w:rFonts w:ascii="Tahoma" w:eastAsia="Calibri" w:hAnsi="Tahoma" w:cs="Tahoma"/>
        </w:rPr>
        <w:t>, attualmente in forte flessione, che non consente agli operatori economici del settore di sviluppare alcun tipo di programmazione a medio-lungo termine per assenza (o difficile reperimento) della necessaria provvista finanziaria.</w:t>
      </w:r>
    </w:p>
    <w:p w14:paraId="0C3F7722" w14:textId="5F56D169" w:rsidR="00B82A48" w:rsidRDefault="00B82A48" w:rsidP="00B82A48">
      <w:pPr>
        <w:spacing w:after="0" w:line="240" w:lineRule="auto"/>
        <w:ind w:left="360"/>
        <w:contextualSpacing/>
        <w:jc w:val="both"/>
        <w:rPr>
          <w:rFonts w:ascii="Tahoma" w:eastAsia="Calibri" w:hAnsi="Tahoma" w:cs="Tahoma"/>
        </w:rPr>
      </w:pPr>
    </w:p>
    <w:p w14:paraId="2B794137" w14:textId="77777777" w:rsidR="002016AF" w:rsidRPr="00701DBB" w:rsidRDefault="002016AF" w:rsidP="002016AF">
      <w:pPr>
        <w:widowControl w:val="0"/>
        <w:suppressAutoHyphens/>
        <w:spacing w:after="0" w:line="260" w:lineRule="exact"/>
        <w:jc w:val="both"/>
        <w:rPr>
          <w:rFonts w:ascii="Tahoma" w:eastAsia="SimSun" w:hAnsi="Tahoma" w:cs="Tahoma"/>
          <w:kern w:val="2"/>
          <w:lang w:eastAsia="zh-CN" w:bidi="hi-IN"/>
        </w:rPr>
      </w:pPr>
    </w:p>
    <w:p w14:paraId="0F03DEBA" w14:textId="612AA71A" w:rsidR="002016AF" w:rsidRPr="00701DBB" w:rsidRDefault="00B43544" w:rsidP="002016AF">
      <w:pPr>
        <w:widowControl w:val="0"/>
        <w:suppressAutoHyphens/>
        <w:spacing w:after="0" w:line="260" w:lineRule="exact"/>
        <w:jc w:val="center"/>
        <w:rPr>
          <w:rFonts w:ascii="Tahoma" w:eastAsia="SimSun" w:hAnsi="Tahoma" w:cs="Tahoma"/>
          <w:b/>
          <w:bCs/>
          <w:kern w:val="2"/>
          <w:lang w:eastAsia="zh-CN" w:bidi="hi-IN"/>
        </w:rPr>
      </w:pPr>
      <w:r w:rsidRPr="00701DBB">
        <w:rPr>
          <w:rFonts w:ascii="Tahoma" w:eastAsia="SimSun" w:hAnsi="Tahoma" w:cs="Tahoma"/>
          <w:b/>
          <w:bCs/>
          <w:kern w:val="2"/>
          <w:lang w:eastAsia="zh-CN" w:bidi="hi-IN"/>
        </w:rPr>
        <w:t>Tutto ciò premesso e considerato</w:t>
      </w:r>
    </w:p>
    <w:p w14:paraId="4D636349" w14:textId="77777777" w:rsidR="00B43544" w:rsidRPr="00701DBB" w:rsidRDefault="00B43544" w:rsidP="002016AF">
      <w:pPr>
        <w:widowControl w:val="0"/>
        <w:suppressAutoHyphens/>
        <w:spacing w:after="0" w:line="260" w:lineRule="exact"/>
        <w:jc w:val="both"/>
        <w:rPr>
          <w:rFonts w:ascii="Tahoma" w:eastAsia="SimSun" w:hAnsi="Tahoma" w:cs="Tahoma"/>
          <w:kern w:val="2"/>
          <w:lang w:eastAsia="zh-CN" w:bidi="hi-IN"/>
        </w:rPr>
      </w:pPr>
    </w:p>
    <w:p w14:paraId="228436F3" w14:textId="45123B5F" w:rsidR="002016AF" w:rsidRPr="00701DBB" w:rsidRDefault="00AD5575" w:rsidP="002016AF">
      <w:pPr>
        <w:widowControl w:val="0"/>
        <w:suppressAutoHyphens/>
        <w:spacing w:after="0" w:line="260" w:lineRule="exact"/>
        <w:jc w:val="both"/>
        <w:rPr>
          <w:rFonts w:ascii="Tahoma" w:eastAsia="SimSun" w:hAnsi="Tahoma" w:cs="Tahoma"/>
          <w:kern w:val="2"/>
          <w:lang w:eastAsia="zh-CN" w:bidi="hi-IN"/>
        </w:rPr>
      </w:pPr>
      <w:r w:rsidRPr="00701DBB">
        <w:rPr>
          <w:rFonts w:ascii="Tahoma" w:eastAsia="SimSun" w:hAnsi="Tahoma" w:cs="Tahoma"/>
          <w:kern w:val="2"/>
          <w:lang w:eastAsia="zh-CN" w:bidi="hi-IN"/>
        </w:rPr>
        <w:t xml:space="preserve">si </w:t>
      </w:r>
      <w:r w:rsidR="002016AF" w:rsidRPr="00701DBB">
        <w:rPr>
          <w:rFonts w:ascii="Tahoma" w:eastAsia="SimSun" w:hAnsi="Tahoma" w:cs="Tahoma"/>
          <w:kern w:val="2"/>
          <w:lang w:eastAsia="zh-CN" w:bidi="hi-IN"/>
        </w:rPr>
        <w:t>rappresent</w:t>
      </w:r>
      <w:r w:rsidRPr="00701DBB">
        <w:rPr>
          <w:rFonts w:ascii="Tahoma" w:eastAsia="SimSun" w:hAnsi="Tahoma" w:cs="Tahoma"/>
          <w:kern w:val="2"/>
          <w:lang w:eastAsia="zh-CN" w:bidi="hi-IN"/>
        </w:rPr>
        <w:t>a</w:t>
      </w:r>
      <w:r w:rsidR="002016AF" w:rsidRPr="00701DBB">
        <w:rPr>
          <w:rFonts w:ascii="Tahoma" w:eastAsia="SimSun" w:hAnsi="Tahoma" w:cs="Tahoma"/>
          <w:kern w:val="2"/>
          <w:lang w:eastAsia="zh-CN" w:bidi="hi-IN"/>
        </w:rPr>
        <w:t xml:space="preserve"> a codesta </w:t>
      </w:r>
      <w:r w:rsidR="005758E8" w:rsidRPr="00701DBB">
        <w:rPr>
          <w:rFonts w:ascii="Tahoma" w:eastAsia="SimSun" w:hAnsi="Tahoma" w:cs="Tahoma"/>
          <w:kern w:val="2"/>
          <w:lang w:eastAsia="zh-CN" w:bidi="hi-IN"/>
        </w:rPr>
        <w:t>spett. le</w:t>
      </w:r>
      <w:r w:rsidR="002016AF" w:rsidRPr="00701DBB">
        <w:rPr>
          <w:rFonts w:ascii="Tahoma" w:eastAsia="SimSun" w:hAnsi="Tahoma" w:cs="Tahoma"/>
          <w:kern w:val="2"/>
          <w:lang w:eastAsia="zh-CN" w:bidi="hi-IN"/>
        </w:rPr>
        <w:t xml:space="preserve"> </w:t>
      </w:r>
      <w:r w:rsidRPr="00701DBB">
        <w:rPr>
          <w:rFonts w:ascii="Tahoma" w:eastAsia="SimSun" w:hAnsi="Tahoma" w:cs="Tahoma"/>
          <w:kern w:val="2"/>
          <w:lang w:eastAsia="zh-CN" w:bidi="hi-IN"/>
        </w:rPr>
        <w:t>Stazione Appaltante che</w:t>
      </w:r>
      <w:r w:rsidR="002016AF" w:rsidRPr="00701DBB">
        <w:rPr>
          <w:rFonts w:ascii="Tahoma" w:eastAsia="SimSun" w:hAnsi="Tahoma" w:cs="Tahoma"/>
          <w:kern w:val="2"/>
          <w:lang w:eastAsia="zh-CN" w:bidi="hi-IN"/>
        </w:rPr>
        <w:t xml:space="preserve"> i gravi disagi che si stanno ripercuotendo sul regolare svolgimento dei lavori, che causano oneri ormai non</w:t>
      </w:r>
      <w:r w:rsidRPr="00701DBB">
        <w:rPr>
          <w:rFonts w:ascii="Tahoma" w:eastAsia="SimSun" w:hAnsi="Tahoma" w:cs="Tahoma"/>
          <w:kern w:val="2"/>
          <w:lang w:eastAsia="zh-CN" w:bidi="hi-IN"/>
        </w:rPr>
        <w:t xml:space="preserve"> sono</w:t>
      </w:r>
      <w:r w:rsidR="002016AF" w:rsidRPr="00701DBB">
        <w:rPr>
          <w:rFonts w:ascii="Tahoma" w:eastAsia="SimSun" w:hAnsi="Tahoma" w:cs="Tahoma"/>
          <w:kern w:val="2"/>
          <w:lang w:eastAsia="zh-CN" w:bidi="hi-IN"/>
        </w:rPr>
        <w:t xml:space="preserve"> più sostenibili e giustificherebbero il fermo delle attività per evidente squilibrio del sinallagma contrattuale.</w:t>
      </w:r>
    </w:p>
    <w:p w14:paraId="144768AA" w14:textId="77777777" w:rsidR="00AD5575" w:rsidRPr="00701DBB" w:rsidRDefault="00AD5575" w:rsidP="00AD5575">
      <w:pPr>
        <w:widowControl w:val="0"/>
        <w:suppressAutoHyphens/>
        <w:spacing w:after="0" w:line="260" w:lineRule="exact"/>
        <w:jc w:val="center"/>
        <w:rPr>
          <w:rFonts w:ascii="Tahoma" w:eastAsia="SimSun" w:hAnsi="Tahoma" w:cs="Tahoma"/>
          <w:b/>
          <w:bCs/>
          <w:kern w:val="2"/>
          <w:lang w:eastAsia="zh-CN" w:bidi="hi-IN"/>
        </w:rPr>
      </w:pPr>
    </w:p>
    <w:p w14:paraId="0633362E" w14:textId="4AD6249D" w:rsidR="00AD5575" w:rsidRPr="00701DBB" w:rsidRDefault="00AD5575" w:rsidP="00AD5575">
      <w:pPr>
        <w:widowControl w:val="0"/>
        <w:suppressAutoHyphens/>
        <w:spacing w:after="0" w:line="260" w:lineRule="exact"/>
        <w:jc w:val="center"/>
        <w:rPr>
          <w:rFonts w:ascii="Tahoma" w:eastAsia="SimSun" w:hAnsi="Tahoma" w:cs="Tahoma"/>
          <w:b/>
          <w:bCs/>
          <w:kern w:val="2"/>
          <w:lang w:eastAsia="zh-CN" w:bidi="hi-IN"/>
        </w:rPr>
      </w:pPr>
      <w:r w:rsidRPr="00701DBB">
        <w:rPr>
          <w:rFonts w:ascii="Tahoma" w:eastAsia="SimSun" w:hAnsi="Tahoma" w:cs="Tahoma"/>
          <w:b/>
          <w:bCs/>
          <w:kern w:val="2"/>
          <w:lang w:eastAsia="zh-CN" w:bidi="hi-IN"/>
        </w:rPr>
        <w:t xml:space="preserve">e si formula istanza </w:t>
      </w:r>
    </w:p>
    <w:p w14:paraId="005EAB16" w14:textId="77777777" w:rsidR="00AD5575" w:rsidRPr="00701DBB" w:rsidRDefault="00AD5575" w:rsidP="002016AF">
      <w:pPr>
        <w:widowControl w:val="0"/>
        <w:suppressAutoHyphens/>
        <w:spacing w:after="0" w:line="260" w:lineRule="exact"/>
        <w:jc w:val="both"/>
        <w:rPr>
          <w:rFonts w:ascii="Tahoma" w:eastAsia="SimSun" w:hAnsi="Tahoma" w:cs="Tahoma"/>
          <w:kern w:val="2"/>
          <w:lang w:eastAsia="zh-CN" w:bidi="hi-IN"/>
        </w:rPr>
      </w:pPr>
    </w:p>
    <w:p w14:paraId="0F23272B" w14:textId="5053FEE6" w:rsidR="002016AF" w:rsidRPr="00701DBB" w:rsidRDefault="00AD5575" w:rsidP="002016AF">
      <w:pPr>
        <w:widowControl w:val="0"/>
        <w:suppressAutoHyphens/>
        <w:spacing w:after="0" w:line="260" w:lineRule="exact"/>
        <w:jc w:val="both"/>
        <w:rPr>
          <w:rFonts w:ascii="Tahoma" w:eastAsia="SimSun" w:hAnsi="Tahoma" w:cs="Tahoma"/>
          <w:kern w:val="2"/>
          <w:lang w:eastAsia="zh-CN" w:bidi="hi-IN"/>
        </w:rPr>
      </w:pPr>
      <w:r w:rsidRPr="00701DBB">
        <w:rPr>
          <w:rFonts w:ascii="Tahoma" w:eastAsia="SimSun" w:hAnsi="Tahoma" w:cs="Tahoma"/>
          <w:kern w:val="2"/>
          <w:lang w:eastAsia="zh-CN" w:bidi="hi-IN"/>
        </w:rPr>
        <w:t xml:space="preserve">al </w:t>
      </w:r>
      <w:r w:rsidR="002016AF" w:rsidRPr="00701DBB">
        <w:rPr>
          <w:rFonts w:ascii="Tahoma" w:eastAsia="SimSun" w:hAnsi="Tahoma" w:cs="Tahoma"/>
          <w:kern w:val="2"/>
          <w:lang w:eastAsia="zh-CN" w:bidi="hi-IN"/>
        </w:rPr>
        <w:t xml:space="preserve">Responsabile Unico del Procedimento, di concerto con il Direttore dei Lavori, </w:t>
      </w:r>
      <w:r w:rsidRPr="00701DBB">
        <w:rPr>
          <w:rFonts w:ascii="Tahoma" w:eastAsia="SimSun" w:hAnsi="Tahoma" w:cs="Tahoma"/>
          <w:kern w:val="2"/>
          <w:lang w:eastAsia="zh-CN" w:bidi="hi-IN"/>
        </w:rPr>
        <w:t xml:space="preserve">di </w:t>
      </w:r>
      <w:r w:rsidRPr="00701DBB">
        <w:rPr>
          <w:rFonts w:ascii="Tahoma" w:eastAsia="SimSun" w:hAnsi="Tahoma" w:cs="Tahoma"/>
          <w:b/>
          <w:bCs/>
          <w:kern w:val="2"/>
          <w:lang w:eastAsia="zh-CN" w:bidi="hi-IN"/>
        </w:rPr>
        <w:t>adottare</w:t>
      </w:r>
      <w:r w:rsidR="002016AF" w:rsidRPr="00701DBB">
        <w:rPr>
          <w:rFonts w:ascii="Tahoma" w:eastAsia="SimSun" w:hAnsi="Tahoma" w:cs="Tahoma"/>
          <w:b/>
          <w:bCs/>
          <w:kern w:val="2"/>
          <w:lang w:eastAsia="zh-CN" w:bidi="hi-IN"/>
        </w:rPr>
        <w:t xml:space="preserve"> tutte le misure necessarie a tutelare la realizzazione dell’appalto</w:t>
      </w:r>
      <w:r w:rsidR="002016AF" w:rsidRPr="00701DBB">
        <w:rPr>
          <w:rFonts w:ascii="Tahoma" w:eastAsia="SimSun" w:hAnsi="Tahoma" w:cs="Tahoma"/>
          <w:kern w:val="2"/>
          <w:lang w:eastAsia="zh-CN" w:bidi="hi-IN"/>
        </w:rPr>
        <w:t xml:space="preserve">, procedendo al riequilibrio del contratto in ossequio al principio di buona fede negoziale </w:t>
      </w:r>
      <w:r w:rsidR="002016AF" w:rsidRPr="00701DBB">
        <w:rPr>
          <w:rFonts w:ascii="Tahoma" w:eastAsia="SimSun" w:hAnsi="Tahoma" w:cs="Tahoma"/>
          <w:i/>
          <w:kern w:val="2"/>
          <w:lang w:eastAsia="zh-CN" w:bidi="hi-IN"/>
        </w:rPr>
        <w:t>ex</w:t>
      </w:r>
      <w:r w:rsidR="002016AF" w:rsidRPr="00701DBB">
        <w:rPr>
          <w:rFonts w:ascii="Tahoma" w:eastAsia="SimSun" w:hAnsi="Tahoma" w:cs="Tahoma"/>
          <w:kern w:val="2"/>
          <w:lang w:eastAsia="zh-CN" w:bidi="hi-IN"/>
        </w:rPr>
        <w:t xml:space="preserve"> art. 1375 c.c.</w:t>
      </w:r>
      <w:r w:rsidRPr="00701DBB">
        <w:rPr>
          <w:rFonts w:ascii="Tahoma" w:eastAsia="SimSun" w:hAnsi="Tahoma" w:cs="Tahoma"/>
          <w:kern w:val="2"/>
          <w:lang w:eastAsia="zh-CN" w:bidi="hi-IN"/>
        </w:rPr>
        <w:t>, quali in particolare:</w:t>
      </w:r>
    </w:p>
    <w:p w14:paraId="52A243BC" w14:textId="77777777" w:rsidR="002016AF" w:rsidRPr="00701DBB" w:rsidRDefault="002016AF" w:rsidP="002016AF">
      <w:pPr>
        <w:widowControl w:val="0"/>
        <w:numPr>
          <w:ilvl w:val="0"/>
          <w:numId w:val="22"/>
        </w:numPr>
        <w:suppressAutoHyphens/>
        <w:spacing w:after="0" w:line="260" w:lineRule="exact"/>
        <w:ind w:left="284" w:hanging="284"/>
        <w:jc w:val="both"/>
        <w:rPr>
          <w:rFonts w:ascii="Tahoma" w:eastAsia="SimSun" w:hAnsi="Tahoma" w:cs="Tahoma"/>
          <w:kern w:val="2"/>
          <w:lang w:eastAsia="zh-CN" w:bidi="hi-IN"/>
        </w:rPr>
      </w:pPr>
      <w:r w:rsidRPr="00701DBB">
        <w:rPr>
          <w:rFonts w:ascii="Tahoma" w:eastAsia="SimSun" w:hAnsi="Tahoma" w:cs="Tahoma"/>
          <w:kern w:val="2"/>
          <w:lang w:eastAsia="zh-CN" w:bidi="hi-IN"/>
        </w:rPr>
        <w:t>La concessione, previa apposita istanza da parte dello scrivente, di una congrua</w:t>
      </w:r>
      <w:r w:rsidRPr="00701DBB">
        <w:rPr>
          <w:rFonts w:ascii="Tahoma" w:eastAsia="SimSun" w:hAnsi="Tahoma" w:cs="Tahoma"/>
          <w:b/>
          <w:kern w:val="2"/>
          <w:lang w:eastAsia="zh-CN" w:bidi="hi-IN"/>
        </w:rPr>
        <w:t xml:space="preserve"> proroga dei termini contrattuali</w:t>
      </w:r>
      <w:r w:rsidRPr="00701DBB">
        <w:rPr>
          <w:rFonts w:ascii="Tahoma" w:eastAsia="SimSun" w:hAnsi="Tahoma" w:cs="Tahoma"/>
          <w:kern w:val="2"/>
          <w:lang w:eastAsia="zh-CN" w:bidi="hi-IN"/>
        </w:rPr>
        <w:t xml:space="preserve"> ai sensi e per gli effetti dell’art. 107, comma 5 del D. Lgs. 18 aprile 2016, n. 50 e dell’art. [●] del Capitolato Speciale di Appalto;</w:t>
      </w:r>
    </w:p>
    <w:p w14:paraId="360D5618" w14:textId="77777777" w:rsidR="002016AF" w:rsidRPr="00701DBB" w:rsidRDefault="002016AF" w:rsidP="002016AF">
      <w:pPr>
        <w:widowControl w:val="0"/>
        <w:suppressAutoHyphens/>
        <w:spacing w:after="0" w:line="260" w:lineRule="exact"/>
        <w:ind w:left="284" w:hanging="284"/>
        <w:jc w:val="both"/>
        <w:rPr>
          <w:rFonts w:ascii="Tahoma" w:eastAsia="SimSun" w:hAnsi="Tahoma" w:cs="Tahoma"/>
          <w:kern w:val="2"/>
          <w:lang w:eastAsia="zh-CN" w:bidi="hi-IN"/>
        </w:rPr>
      </w:pPr>
    </w:p>
    <w:p w14:paraId="38ACA58B" w14:textId="77777777" w:rsidR="002016AF" w:rsidRPr="00701DBB" w:rsidRDefault="002016AF" w:rsidP="002016AF">
      <w:pPr>
        <w:widowControl w:val="0"/>
        <w:numPr>
          <w:ilvl w:val="0"/>
          <w:numId w:val="22"/>
        </w:numPr>
        <w:suppressAutoHyphens/>
        <w:spacing w:after="0" w:line="260" w:lineRule="exact"/>
        <w:ind w:left="284" w:hanging="284"/>
        <w:jc w:val="both"/>
        <w:rPr>
          <w:rFonts w:ascii="Tahoma" w:eastAsia="SimSun" w:hAnsi="Tahoma" w:cs="Tahoma"/>
          <w:kern w:val="2"/>
          <w:lang w:eastAsia="zh-CN" w:bidi="hi-IN"/>
        </w:rPr>
      </w:pPr>
      <w:r w:rsidRPr="00701DBB">
        <w:rPr>
          <w:rFonts w:ascii="Tahoma" w:eastAsia="SimSun" w:hAnsi="Tahoma" w:cs="Tahoma"/>
          <w:kern w:val="2"/>
          <w:lang w:eastAsia="zh-CN" w:bidi="hi-IN"/>
        </w:rPr>
        <w:t xml:space="preserve">La </w:t>
      </w:r>
      <w:r w:rsidRPr="00701DBB">
        <w:rPr>
          <w:rFonts w:ascii="Tahoma" w:eastAsia="SimSun" w:hAnsi="Tahoma" w:cs="Tahoma"/>
          <w:b/>
          <w:kern w:val="2"/>
          <w:lang w:eastAsia="zh-CN" w:bidi="hi-IN"/>
        </w:rPr>
        <w:t>sospensione totale delle lavorazioni</w:t>
      </w:r>
      <w:r w:rsidRPr="00701DBB">
        <w:rPr>
          <w:rFonts w:ascii="Tahoma" w:eastAsia="SimSun" w:hAnsi="Tahoma" w:cs="Tahoma"/>
          <w:kern w:val="2"/>
          <w:lang w:eastAsia="zh-CN" w:bidi="hi-IN"/>
        </w:rPr>
        <w:t xml:space="preserve"> ai sensi e per gli effetti dell’art. 107, comma 1 del D. Lgs. 18 aprile 2016, n. 50, e dell’art. [●] del Capitolato Speciale di Appalto sul presupposto del verificarsi di una circostanza speciale tale da impedire la regolare prosecuzione dei lavori. Tale sospensione dovrebbe permanere perlomeno fino a quando torneranno regolarmente disponibili sul mercato tutte le materie prime da costruzione, nonché il gasolio necessario a </w:t>
      </w:r>
      <w:r w:rsidRPr="00701DBB">
        <w:rPr>
          <w:rFonts w:ascii="Tahoma" w:eastAsia="SimSun" w:hAnsi="Tahoma" w:cs="Tahoma"/>
          <w:kern w:val="2"/>
          <w:lang w:eastAsia="zh-CN" w:bidi="hi-IN"/>
        </w:rPr>
        <w:lastRenderedPageBreak/>
        <w:t>consentire il funzionamento dei mezzi d’opera;</w:t>
      </w:r>
    </w:p>
    <w:p w14:paraId="5257A2A2" w14:textId="77777777" w:rsidR="002016AF" w:rsidRPr="00701DBB" w:rsidRDefault="002016AF" w:rsidP="002016AF">
      <w:pPr>
        <w:widowControl w:val="0"/>
        <w:suppressAutoHyphens/>
        <w:spacing w:after="0" w:line="260" w:lineRule="exact"/>
        <w:ind w:left="284" w:hanging="284"/>
        <w:jc w:val="both"/>
        <w:rPr>
          <w:rFonts w:ascii="Tahoma" w:eastAsia="SimSun" w:hAnsi="Tahoma" w:cs="Tahoma"/>
          <w:kern w:val="2"/>
          <w:lang w:eastAsia="zh-CN" w:bidi="hi-IN"/>
        </w:rPr>
      </w:pPr>
    </w:p>
    <w:p w14:paraId="0706F23A" w14:textId="77777777" w:rsidR="002016AF" w:rsidRPr="00701DBB" w:rsidRDefault="002016AF" w:rsidP="002016AF">
      <w:pPr>
        <w:widowControl w:val="0"/>
        <w:numPr>
          <w:ilvl w:val="0"/>
          <w:numId w:val="22"/>
        </w:numPr>
        <w:suppressAutoHyphens/>
        <w:spacing w:after="0" w:line="260" w:lineRule="exact"/>
        <w:ind w:left="284" w:hanging="284"/>
        <w:jc w:val="both"/>
        <w:rPr>
          <w:rFonts w:ascii="Tahoma" w:eastAsia="SimSun" w:hAnsi="Tahoma" w:cs="Tahoma"/>
          <w:kern w:val="2"/>
          <w:lang w:eastAsia="zh-CN" w:bidi="hi-IN"/>
        </w:rPr>
      </w:pPr>
      <w:r w:rsidRPr="00701DBB">
        <w:rPr>
          <w:rFonts w:ascii="Tahoma" w:eastAsia="SimSun" w:hAnsi="Tahoma" w:cs="Tahoma"/>
          <w:kern w:val="2"/>
          <w:lang w:eastAsia="zh-CN" w:bidi="hi-IN"/>
        </w:rPr>
        <w:t xml:space="preserve">L’adozione, ai sensi e per gli effetti dell’art. 106, comma 1, lettera a) del D. Lgs. 18 aprile 2016, n. 50, di una Variante in corso d’opera che introduca una </w:t>
      </w:r>
      <w:r w:rsidRPr="00701DBB">
        <w:rPr>
          <w:rFonts w:ascii="Tahoma" w:eastAsia="SimSun" w:hAnsi="Tahoma" w:cs="Tahoma"/>
          <w:b/>
          <w:kern w:val="2"/>
          <w:lang w:eastAsia="zh-CN" w:bidi="hi-IN"/>
        </w:rPr>
        <w:t>clausola di revisione prezzi</w:t>
      </w:r>
      <w:r w:rsidRPr="00701DBB">
        <w:rPr>
          <w:rFonts w:ascii="Tahoma" w:eastAsia="SimSun" w:hAnsi="Tahoma" w:cs="Tahoma"/>
          <w:kern w:val="2"/>
          <w:lang w:eastAsia="zh-CN" w:bidi="hi-IN"/>
        </w:rPr>
        <w:t xml:space="preserve"> tale da scongiurare carenze di effettività dell’Offerta economica presentata dalla scrivente Impresa in fase di gara;</w:t>
      </w:r>
    </w:p>
    <w:p w14:paraId="30875896" w14:textId="77777777" w:rsidR="002016AF" w:rsidRPr="00701DBB" w:rsidRDefault="002016AF" w:rsidP="002016AF">
      <w:pPr>
        <w:widowControl w:val="0"/>
        <w:suppressAutoHyphens/>
        <w:spacing w:after="0" w:line="260" w:lineRule="exact"/>
        <w:ind w:left="284" w:hanging="284"/>
        <w:jc w:val="both"/>
        <w:rPr>
          <w:rFonts w:ascii="Tahoma" w:eastAsia="SimSun" w:hAnsi="Tahoma" w:cs="Tahoma"/>
          <w:kern w:val="2"/>
          <w:lang w:eastAsia="zh-CN" w:bidi="hi-IN"/>
        </w:rPr>
      </w:pPr>
    </w:p>
    <w:p w14:paraId="535E5133" w14:textId="677C75C3" w:rsidR="002016AF" w:rsidRDefault="002016AF" w:rsidP="002016AF">
      <w:pPr>
        <w:widowControl w:val="0"/>
        <w:numPr>
          <w:ilvl w:val="0"/>
          <w:numId w:val="22"/>
        </w:numPr>
        <w:suppressAutoHyphens/>
        <w:spacing w:after="0" w:line="260" w:lineRule="exact"/>
        <w:ind w:left="284" w:hanging="284"/>
        <w:jc w:val="both"/>
        <w:rPr>
          <w:rFonts w:ascii="Tahoma" w:eastAsia="SimSun" w:hAnsi="Tahoma" w:cs="Tahoma"/>
          <w:kern w:val="2"/>
          <w:lang w:eastAsia="zh-CN" w:bidi="hi-IN"/>
        </w:rPr>
      </w:pPr>
      <w:r w:rsidRPr="00701DBB">
        <w:rPr>
          <w:rFonts w:ascii="Tahoma" w:eastAsia="SimSun" w:hAnsi="Tahoma" w:cs="Tahoma"/>
          <w:kern w:val="2"/>
          <w:lang w:eastAsia="zh-CN" w:bidi="hi-IN"/>
        </w:rPr>
        <w:t xml:space="preserve">Riconoscimento di un </w:t>
      </w:r>
      <w:r w:rsidRPr="00701DBB">
        <w:rPr>
          <w:rFonts w:ascii="Tahoma" w:eastAsia="SimSun" w:hAnsi="Tahoma" w:cs="Tahoma"/>
          <w:b/>
          <w:kern w:val="2"/>
          <w:lang w:eastAsia="zh-CN" w:bidi="hi-IN"/>
        </w:rPr>
        <w:t>equo compenso</w:t>
      </w:r>
      <w:r w:rsidRPr="00701DBB">
        <w:rPr>
          <w:rFonts w:ascii="Tahoma" w:eastAsia="SimSun" w:hAnsi="Tahoma" w:cs="Tahoma"/>
          <w:kern w:val="2"/>
          <w:lang w:eastAsia="zh-CN" w:bidi="hi-IN"/>
        </w:rPr>
        <w:t xml:space="preserve"> ai sensi dell’art. 1664, comma 2 c.c., volto a ristorare l’Appaltatore delle gravi difficoltà di esecuzione evidenziate in narrativa, che ne hanno reso significativamente più onerosa la prestazione, alterando l’equilibrio sinallagmatico del contratto.</w:t>
      </w:r>
    </w:p>
    <w:p w14:paraId="2CBEBA45" w14:textId="77777777" w:rsidR="005758E8" w:rsidRPr="00701DBB" w:rsidRDefault="005758E8" w:rsidP="005758E8">
      <w:pPr>
        <w:widowControl w:val="0"/>
        <w:suppressAutoHyphens/>
        <w:spacing w:after="0" w:line="260" w:lineRule="exact"/>
        <w:jc w:val="both"/>
        <w:rPr>
          <w:rFonts w:ascii="Tahoma" w:eastAsia="SimSun" w:hAnsi="Tahoma" w:cs="Tahoma"/>
          <w:kern w:val="2"/>
          <w:lang w:eastAsia="zh-CN" w:bidi="hi-IN"/>
        </w:rPr>
      </w:pPr>
    </w:p>
    <w:p w14:paraId="75ADA01B" w14:textId="7E3E8B08" w:rsidR="007032FE" w:rsidRPr="00847C79" w:rsidRDefault="00006557" w:rsidP="002016AF">
      <w:pPr>
        <w:widowControl w:val="0"/>
        <w:numPr>
          <w:ilvl w:val="0"/>
          <w:numId w:val="22"/>
        </w:numPr>
        <w:suppressAutoHyphens/>
        <w:spacing w:after="0" w:line="260" w:lineRule="exact"/>
        <w:ind w:left="284" w:hanging="284"/>
        <w:jc w:val="both"/>
        <w:rPr>
          <w:rFonts w:ascii="Tahoma" w:eastAsia="SimSun" w:hAnsi="Tahoma" w:cs="Tahoma"/>
          <w:kern w:val="2"/>
          <w:lang w:eastAsia="zh-CN" w:bidi="hi-IN"/>
        </w:rPr>
      </w:pPr>
      <w:r w:rsidRPr="00847C79">
        <w:rPr>
          <w:rFonts w:ascii="Tahoma" w:eastAsia="SimSun" w:hAnsi="Tahoma" w:cs="Tahoma"/>
          <w:kern w:val="2"/>
          <w:lang w:eastAsia="zh-CN" w:bidi="hi-IN"/>
        </w:rPr>
        <w:t>l</w:t>
      </w:r>
      <w:r w:rsidR="007032FE" w:rsidRPr="00847C79">
        <w:rPr>
          <w:rFonts w:ascii="Tahoma" w:eastAsia="SimSun" w:hAnsi="Tahoma" w:cs="Tahoma"/>
          <w:kern w:val="2"/>
          <w:lang w:eastAsia="zh-CN" w:bidi="hi-IN"/>
        </w:rPr>
        <w:t xml:space="preserve">’adozione, ai sensi e per gli effetti dell’art. 1467 del codice civile, di urgenti misure volte </w:t>
      </w:r>
      <w:r w:rsidR="00847C79" w:rsidRPr="00847C79">
        <w:rPr>
          <w:rFonts w:ascii="Tahoma" w:eastAsia="SimSun" w:hAnsi="Tahoma" w:cs="Tahoma"/>
          <w:kern w:val="2"/>
          <w:lang w:eastAsia="zh-CN" w:bidi="hi-IN"/>
        </w:rPr>
        <w:t xml:space="preserve">alla </w:t>
      </w:r>
      <w:r w:rsidR="007032FE" w:rsidRPr="00847C79">
        <w:rPr>
          <w:rFonts w:ascii="Tahoma" w:eastAsia="SimSun" w:hAnsi="Tahoma" w:cs="Tahoma"/>
          <w:kern w:val="2"/>
          <w:lang w:eastAsia="zh-CN" w:bidi="hi-IN"/>
        </w:rPr>
        <w:t>riconduzione ad equità delle condizioni contrattuali</w:t>
      </w:r>
      <w:r w:rsidR="00F225F5">
        <w:rPr>
          <w:rFonts w:ascii="Tahoma" w:eastAsia="SimSun" w:hAnsi="Tahoma" w:cs="Tahoma"/>
          <w:kern w:val="2"/>
          <w:lang w:eastAsia="zh-CN" w:bidi="hi-IN"/>
        </w:rPr>
        <w:t>,</w:t>
      </w:r>
      <w:r w:rsidR="007032FE" w:rsidRPr="00847C79">
        <w:rPr>
          <w:rFonts w:ascii="Tahoma" w:eastAsia="SimSun" w:hAnsi="Tahoma" w:cs="Tahoma"/>
          <w:kern w:val="2"/>
          <w:lang w:eastAsia="zh-CN" w:bidi="hi-IN"/>
        </w:rPr>
        <w:t xml:space="preserve"> a fronte della situazione di eccessiva onerosità sopravvenuta</w:t>
      </w:r>
      <w:r w:rsidR="00836D6E" w:rsidRPr="00847C79">
        <w:rPr>
          <w:rFonts w:ascii="Tahoma" w:eastAsia="SimSun" w:hAnsi="Tahoma" w:cs="Tahoma"/>
          <w:kern w:val="2"/>
          <w:lang w:eastAsia="zh-CN" w:bidi="hi-IN"/>
        </w:rPr>
        <w:t>.</w:t>
      </w:r>
    </w:p>
    <w:p w14:paraId="2873EF9F" w14:textId="77777777" w:rsidR="00AD5575" w:rsidRPr="00701DBB" w:rsidRDefault="00AD5575" w:rsidP="00AD5575">
      <w:pPr>
        <w:widowControl w:val="0"/>
        <w:suppressAutoHyphens/>
        <w:spacing w:after="0" w:line="260" w:lineRule="exact"/>
        <w:jc w:val="center"/>
        <w:rPr>
          <w:rFonts w:ascii="Tahoma" w:eastAsia="SimSun" w:hAnsi="Tahoma" w:cs="Tahoma"/>
          <w:b/>
          <w:bCs/>
          <w:kern w:val="2"/>
          <w:lang w:eastAsia="zh-CN" w:bidi="hi-IN"/>
        </w:rPr>
      </w:pPr>
    </w:p>
    <w:p w14:paraId="05851F82" w14:textId="5EC5C819" w:rsidR="002016AF" w:rsidRPr="00701DBB" w:rsidRDefault="00AD5575" w:rsidP="00AD5575">
      <w:pPr>
        <w:widowControl w:val="0"/>
        <w:suppressAutoHyphens/>
        <w:spacing w:after="0" w:line="260" w:lineRule="exact"/>
        <w:jc w:val="center"/>
        <w:rPr>
          <w:rFonts w:ascii="Tahoma" w:eastAsia="SimSun" w:hAnsi="Tahoma" w:cs="Tahoma"/>
          <w:b/>
          <w:bCs/>
          <w:kern w:val="2"/>
          <w:lang w:eastAsia="zh-CN" w:bidi="hi-IN"/>
        </w:rPr>
      </w:pPr>
      <w:r w:rsidRPr="00701DBB">
        <w:rPr>
          <w:rFonts w:ascii="Tahoma" w:eastAsia="SimSun" w:hAnsi="Tahoma" w:cs="Tahoma"/>
          <w:b/>
          <w:bCs/>
          <w:kern w:val="2"/>
          <w:lang w:eastAsia="zh-CN" w:bidi="hi-IN"/>
        </w:rPr>
        <w:t>Si evidenzia altresì sin d’ora che</w:t>
      </w:r>
    </w:p>
    <w:p w14:paraId="649A5633" w14:textId="77777777" w:rsidR="00AD5575" w:rsidRPr="00701DBB" w:rsidRDefault="00AD5575" w:rsidP="00AD5575">
      <w:pPr>
        <w:widowControl w:val="0"/>
        <w:suppressAutoHyphens/>
        <w:spacing w:after="0" w:line="260" w:lineRule="exact"/>
        <w:jc w:val="center"/>
        <w:rPr>
          <w:rFonts w:ascii="Tahoma" w:eastAsia="SimSun" w:hAnsi="Tahoma" w:cs="Tahoma"/>
          <w:kern w:val="2"/>
          <w:lang w:eastAsia="zh-CN" w:bidi="hi-IN"/>
        </w:rPr>
      </w:pPr>
    </w:p>
    <w:p w14:paraId="05291657" w14:textId="4166A0AF" w:rsidR="009F4D8E" w:rsidRPr="00701DBB" w:rsidRDefault="002016AF" w:rsidP="009F4D8E">
      <w:pPr>
        <w:widowControl w:val="0"/>
        <w:suppressAutoHyphens/>
        <w:spacing w:after="0" w:line="260" w:lineRule="exact"/>
        <w:jc w:val="both"/>
        <w:rPr>
          <w:rFonts w:ascii="Tahoma" w:eastAsia="SimSun" w:hAnsi="Tahoma" w:cs="Tahoma"/>
          <w:kern w:val="2"/>
          <w:lang w:eastAsia="zh-CN" w:bidi="hi-IN"/>
        </w:rPr>
      </w:pPr>
      <w:r w:rsidRPr="00701DBB">
        <w:rPr>
          <w:rFonts w:ascii="Tahoma" w:eastAsia="SimSun" w:hAnsi="Tahoma" w:cs="Tahoma"/>
          <w:kern w:val="2"/>
          <w:lang w:eastAsia="zh-CN" w:bidi="hi-IN"/>
        </w:rPr>
        <w:t xml:space="preserve">in assenza di una rapida introduzione da parte di codesta spett.le Stazione Appaltante di un </w:t>
      </w:r>
      <w:r w:rsidR="009F4D8E" w:rsidRPr="00701DBB">
        <w:rPr>
          <w:rFonts w:ascii="Tahoma" w:eastAsia="SimSun" w:hAnsi="Tahoma" w:cs="Tahoma"/>
          <w:kern w:val="2"/>
          <w:lang w:eastAsia="zh-CN" w:bidi="hi-IN"/>
        </w:rPr>
        <w:t>qualsivoglia</w:t>
      </w:r>
      <w:r w:rsidRPr="00701DBB">
        <w:rPr>
          <w:rFonts w:ascii="Tahoma" w:eastAsia="SimSun" w:hAnsi="Tahoma" w:cs="Tahoma"/>
          <w:kern w:val="2"/>
          <w:lang w:eastAsia="zh-CN" w:bidi="hi-IN"/>
        </w:rPr>
        <w:t xml:space="preserve"> meccanismo di soccorso negoziale – l</w:t>
      </w:r>
      <w:r w:rsidR="00AD5575" w:rsidRPr="00701DBB">
        <w:rPr>
          <w:rFonts w:ascii="Tahoma" w:eastAsia="SimSun" w:hAnsi="Tahoma" w:cs="Tahoma"/>
          <w:kern w:val="2"/>
          <w:lang w:eastAsia="zh-CN" w:bidi="hi-IN"/>
        </w:rPr>
        <w:t>a</w:t>
      </w:r>
      <w:r w:rsidRPr="00701DBB">
        <w:rPr>
          <w:rFonts w:ascii="Tahoma" w:eastAsia="SimSun" w:hAnsi="Tahoma" w:cs="Tahoma"/>
          <w:kern w:val="2"/>
          <w:lang w:eastAsia="zh-CN" w:bidi="hi-IN"/>
        </w:rPr>
        <w:t xml:space="preserve"> scrivente </w:t>
      </w:r>
      <w:r w:rsidR="00AD5575" w:rsidRPr="00701DBB">
        <w:rPr>
          <w:rFonts w:ascii="Tahoma" w:eastAsia="SimSun" w:hAnsi="Tahoma" w:cs="Tahoma"/>
          <w:kern w:val="2"/>
          <w:lang w:eastAsia="zh-CN" w:bidi="hi-IN"/>
        </w:rPr>
        <w:t>Imprese</w:t>
      </w:r>
      <w:r w:rsidRPr="00701DBB">
        <w:rPr>
          <w:rFonts w:ascii="Tahoma" w:eastAsia="SimSun" w:hAnsi="Tahoma" w:cs="Tahoma"/>
          <w:kern w:val="2"/>
          <w:lang w:eastAsia="zh-CN" w:bidi="hi-IN"/>
        </w:rPr>
        <w:t xml:space="preserve"> potrebbe risultare oggettivamente impossibilitato a proseguire </w:t>
      </w:r>
      <w:r w:rsidR="009F4D8E" w:rsidRPr="00701DBB">
        <w:rPr>
          <w:rFonts w:ascii="Tahoma" w:eastAsia="SimSun" w:hAnsi="Tahoma" w:cs="Tahoma"/>
          <w:kern w:val="2"/>
          <w:lang w:eastAsia="zh-CN" w:bidi="hi-IN"/>
        </w:rPr>
        <w:t>nell</w:t>
      </w:r>
      <w:r w:rsidRPr="00701DBB">
        <w:rPr>
          <w:rFonts w:ascii="Tahoma" w:eastAsia="SimSun" w:hAnsi="Tahoma" w:cs="Tahoma"/>
          <w:kern w:val="2"/>
          <w:lang w:eastAsia="zh-CN" w:bidi="hi-IN"/>
        </w:rPr>
        <w:t>’esecuzione dei lavori (ai sensi e per gli effetti dell’art. 1256, comma 2 c.c.)</w:t>
      </w:r>
      <w:r w:rsidR="009F4D8E" w:rsidRPr="00701DBB">
        <w:rPr>
          <w:rFonts w:ascii="Tahoma" w:eastAsia="SimSun" w:hAnsi="Tahoma" w:cs="Tahoma"/>
          <w:kern w:val="2"/>
          <w:lang w:eastAsia="zh-CN" w:bidi="hi-IN"/>
        </w:rPr>
        <w:t>, con la conseguenza che</w:t>
      </w:r>
    </w:p>
    <w:p w14:paraId="35CD79B5" w14:textId="77777777" w:rsidR="009F4D8E" w:rsidRPr="00701DBB" w:rsidRDefault="002016AF" w:rsidP="009F4D8E">
      <w:pPr>
        <w:pStyle w:val="Paragrafoelenco"/>
        <w:widowControl w:val="0"/>
        <w:numPr>
          <w:ilvl w:val="0"/>
          <w:numId w:val="22"/>
        </w:numPr>
        <w:suppressAutoHyphens/>
        <w:spacing w:after="0" w:line="260" w:lineRule="exact"/>
        <w:ind w:left="851" w:hanging="142"/>
        <w:jc w:val="both"/>
        <w:rPr>
          <w:rFonts w:ascii="Tahoma" w:eastAsia="SimSun" w:hAnsi="Tahoma" w:cs="Tahoma"/>
          <w:kern w:val="2"/>
          <w:lang w:eastAsia="zh-CN" w:bidi="hi-IN"/>
        </w:rPr>
      </w:pPr>
      <w:r w:rsidRPr="00701DBB">
        <w:rPr>
          <w:rFonts w:ascii="Tahoma" w:eastAsia="SimSun" w:hAnsi="Tahoma" w:cs="Tahoma"/>
          <w:kern w:val="2"/>
          <w:lang w:eastAsia="zh-CN" w:bidi="hi-IN"/>
        </w:rPr>
        <w:t>ci</w:t>
      </w:r>
      <w:r w:rsidR="00AD5575" w:rsidRPr="00701DBB">
        <w:rPr>
          <w:rFonts w:ascii="Tahoma" w:eastAsia="SimSun" w:hAnsi="Tahoma" w:cs="Tahoma"/>
          <w:kern w:val="2"/>
          <w:lang w:eastAsia="zh-CN" w:bidi="hi-IN"/>
        </w:rPr>
        <w:t xml:space="preserve"> si</w:t>
      </w:r>
      <w:r w:rsidRPr="00701DBB">
        <w:rPr>
          <w:rFonts w:ascii="Tahoma" w:eastAsia="SimSun" w:hAnsi="Tahoma" w:cs="Tahoma"/>
          <w:kern w:val="2"/>
          <w:lang w:eastAsia="zh-CN" w:bidi="hi-IN"/>
        </w:rPr>
        <w:t xml:space="preserve"> riserviamo fin d’ora – previa opportuna comunicazione a codesta </w:t>
      </w:r>
      <w:r w:rsidR="00EF0A09" w:rsidRPr="00701DBB">
        <w:rPr>
          <w:rFonts w:ascii="Tahoma" w:hAnsi="Tahoma" w:cs="Tahoma"/>
          <w:bCs/>
          <w:iCs/>
        </w:rPr>
        <w:t>Spett.le Stazione Appaltante</w:t>
      </w:r>
      <w:r w:rsidRPr="00701DBB">
        <w:rPr>
          <w:rFonts w:ascii="Tahoma" w:eastAsia="SimSun" w:hAnsi="Tahoma" w:cs="Tahoma"/>
          <w:kern w:val="2"/>
          <w:lang w:eastAsia="zh-CN" w:bidi="hi-IN"/>
        </w:rPr>
        <w:t xml:space="preserve"> e alle principali rappresentanze sindacali territoriali – di </w:t>
      </w:r>
      <w:r w:rsidRPr="00701DBB">
        <w:rPr>
          <w:rFonts w:ascii="Tahoma" w:eastAsia="SimSun" w:hAnsi="Tahoma" w:cs="Tahoma"/>
          <w:b/>
          <w:kern w:val="2"/>
          <w:lang w:eastAsia="zh-CN" w:bidi="hi-IN"/>
        </w:rPr>
        <w:t>sospendere le lavorazioni</w:t>
      </w:r>
      <w:r w:rsidRPr="00701DBB">
        <w:rPr>
          <w:rFonts w:ascii="Tahoma" w:eastAsia="SimSun" w:hAnsi="Tahoma" w:cs="Tahoma"/>
          <w:kern w:val="2"/>
          <w:lang w:eastAsia="zh-CN" w:bidi="hi-IN"/>
        </w:rPr>
        <w:t xml:space="preserve"> fino a quando le congiunture economiche e geopolitiche renderanno possibile la ripresa degli stessi. </w:t>
      </w:r>
    </w:p>
    <w:p w14:paraId="3FC88BCD" w14:textId="26C2E1EF" w:rsidR="00EF0A09" w:rsidRPr="00701DBB" w:rsidRDefault="00EF0A09" w:rsidP="009F4D8E">
      <w:pPr>
        <w:pStyle w:val="Paragrafoelenco"/>
        <w:widowControl w:val="0"/>
        <w:numPr>
          <w:ilvl w:val="0"/>
          <w:numId w:val="22"/>
        </w:numPr>
        <w:suppressAutoHyphens/>
        <w:spacing w:after="0" w:line="260" w:lineRule="exact"/>
        <w:ind w:left="851" w:hanging="142"/>
        <w:jc w:val="both"/>
        <w:rPr>
          <w:rFonts w:ascii="Tahoma" w:eastAsia="SimSun" w:hAnsi="Tahoma" w:cs="Tahoma"/>
          <w:kern w:val="2"/>
          <w:lang w:eastAsia="zh-CN" w:bidi="hi-IN"/>
        </w:rPr>
      </w:pPr>
      <w:r w:rsidRPr="00701DBB">
        <w:rPr>
          <w:rFonts w:ascii="Tahoma" w:eastAsia="SimSun" w:hAnsi="Tahoma" w:cs="Tahoma"/>
          <w:kern w:val="2"/>
          <w:lang w:eastAsia="zh-CN" w:bidi="hi-IN"/>
        </w:rPr>
        <w:t>si paventa una situazione di impossibilità ad assicurare la prosecuzione dei lavori.</w:t>
      </w:r>
    </w:p>
    <w:p w14:paraId="756A411F" w14:textId="77777777" w:rsidR="00EF0A09" w:rsidRPr="00701DBB" w:rsidRDefault="00EF0A09" w:rsidP="00EF0A09">
      <w:pPr>
        <w:widowControl w:val="0"/>
        <w:suppressAutoHyphens/>
        <w:spacing w:after="0" w:line="260" w:lineRule="exact"/>
        <w:jc w:val="both"/>
        <w:rPr>
          <w:rFonts w:ascii="Tahoma" w:hAnsi="Tahoma" w:cs="Tahoma"/>
          <w:bCs/>
          <w:iCs/>
        </w:rPr>
      </w:pPr>
    </w:p>
    <w:p w14:paraId="6439F935" w14:textId="77777777" w:rsidR="00732A92" w:rsidRDefault="00732A92" w:rsidP="00EF0A09">
      <w:pPr>
        <w:widowControl w:val="0"/>
        <w:suppressAutoHyphens/>
        <w:spacing w:after="0" w:line="260" w:lineRule="exact"/>
        <w:jc w:val="both"/>
        <w:rPr>
          <w:rFonts w:ascii="Tahoma" w:eastAsia="SimSun" w:hAnsi="Tahoma" w:cs="Tahoma"/>
          <w:kern w:val="2"/>
          <w:lang w:eastAsia="zh-CN" w:bidi="hi-IN"/>
        </w:rPr>
      </w:pPr>
    </w:p>
    <w:p w14:paraId="2FF75482" w14:textId="77777777" w:rsidR="00732A92" w:rsidRPr="00732A92" w:rsidRDefault="00732A92" w:rsidP="00732A92">
      <w:pPr>
        <w:widowControl w:val="0"/>
        <w:suppressAutoHyphens/>
        <w:spacing w:after="0" w:line="260" w:lineRule="exact"/>
        <w:jc w:val="both"/>
        <w:rPr>
          <w:rFonts w:ascii="Tahoma" w:eastAsia="SimSun" w:hAnsi="Tahoma" w:cs="Tahoma"/>
          <w:bCs/>
          <w:kern w:val="2"/>
          <w:lang w:eastAsia="zh-CN" w:bidi="hi-IN"/>
        </w:rPr>
      </w:pPr>
      <w:r w:rsidRPr="00732A92">
        <w:rPr>
          <w:rFonts w:ascii="Tahoma" w:eastAsia="SimSun" w:hAnsi="Tahoma" w:cs="Tahoma"/>
          <w:bCs/>
          <w:kern w:val="2"/>
          <w:lang w:eastAsia="zh-CN" w:bidi="hi-IN"/>
        </w:rPr>
        <w:t>Si allegano a tal fine le seguenti dichiarazioni dei fornitori e/o subappaltatori (inserire ove disponibili le disdette, o i nuovi preventivi presentati dai fornitori e/o subappaltatori della commessa).</w:t>
      </w:r>
    </w:p>
    <w:p w14:paraId="4F726F5C" w14:textId="77777777" w:rsidR="00732A92" w:rsidRDefault="00732A92" w:rsidP="00EF0A09">
      <w:pPr>
        <w:widowControl w:val="0"/>
        <w:suppressAutoHyphens/>
        <w:spacing w:after="0" w:line="260" w:lineRule="exact"/>
        <w:jc w:val="both"/>
        <w:rPr>
          <w:rFonts w:ascii="Tahoma" w:eastAsia="SimSun" w:hAnsi="Tahoma" w:cs="Tahoma"/>
          <w:kern w:val="2"/>
          <w:lang w:eastAsia="zh-CN" w:bidi="hi-IN"/>
        </w:rPr>
      </w:pPr>
    </w:p>
    <w:p w14:paraId="0BA81D27" w14:textId="1F1A4FC1" w:rsidR="00EF0A09" w:rsidRPr="00701DBB" w:rsidRDefault="00EF0A09" w:rsidP="00EF0A09">
      <w:pPr>
        <w:widowControl w:val="0"/>
        <w:suppressAutoHyphens/>
        <w:spacing w:after="0" w:line="260" w:lineRule="exact"/>
        <w:jc w:val="both"/>
        <w:rPr>
          <w:rFonts w:ascii="Tahoma" w:eastAsia="SimSun" w:hAnsi="Tahoma" w:cs="Tahoma"/>
          <w:kern w:val="2"/>
          <w:lang w:eastAsia="zh-CN" w:bidi="hi-IN"/>
        </w:rPr>
      </w:pPr>
      <w:r w:rsidRPr="00701DBB">
        <w:rPr>
          <w:rFonts w:ascii="Tahoma" w:eastAsia="SimSun" w:hAnsi="Tahoma" w:cs="Tahoma"/>
          <w:kern w:val="2"/>
          <w:lang w:eastAsia="zh-CN" w:bidi="hi-IN"/>
        </w:rPr>
        <w:t>Confermando la nostra piena disponibilità e collaborazione, nel comune interesse a garantire una celere ed efficace realizzazione</w:t>
      </w:r>
      <w:r w:rsidR="009F4D8E" w:rsidRPr="00701DBB">
        <w:rPr>
          <w:rFonts w:ascii="Tahoma" w:eastAsia="SimSun" w:hAnsi="Tahoma" w:cs="Tahoma"/>
          <w:kern w:val="2"/>
          <w:lang w:eastAsia="zh-CN" w:bidi="hi-IN"/>
        </w:rPr>
        <w:t xml:space="preserve"> delle opere in oggetto</w:t>
      </w:r>
      <w:r w:rsidRPr="00701DBB">
        <w:rPr>
          <w:rFonts w:ascii="Tahoma" w:eastAsia="SimSun" w:hAnsi="Tahoma" w:cs="Tahoma"/>
          <w:kern w:val="2"/>
          <w:lang w:eastAsia="zh-CN" w:bidi="hi-IN"/>
        </w:rPr>
        <w:t xml:space="preserve">, </w:t>
      </w:r>
      <w:r w:rsidR="009F4D8E" w:rsidRPr="00701DBB">
        <w:rPr>
          <w:rFonts w:ascii="Tahoma" w:eastAsia="SimSun" w:hAnsi="Tahoma" w:cs="Tahoma"/>
          <w:kern w:val="2"/>
          <w:lang w:eastAsia="zh-CN" w:bidi="hi-IN"/>
        </w:rPr>
        <w:t>si inviano</w:t>
      </w:r>
      <w:r w:rsidRPr="00701DBB">
        <w:rPr>
          <w:rFonts w:ascii="Tahoma" w:eastAsia="SimSun" w:hAnsi="Tahoma" w:cs="Tahoma"/>
          <w:kern w:val="2"/>
          <w:lang w:eastAsia="zh-CN" w:bidi="hi-IN"/>
        </w:rPr>
        <w:t xml:space="preserve"> </w:t>
      </w:r>
      <w:r w:rsidR="009F4D8E" w:rsidRPr="00701DBB">
        <w:rPr>
          <w:rFonts w:ascii="Tahoma" w:eastAsia="SimSun" w:hAnsi="Tahoma" w:cs="Tahoma"/>
          <w:kern w:val="2"/>
          <w:lang w:eastAsia="zh-CN" w:bidi="hi-IN"/>
        </w:rPr>
        <w:t>cordiali</w:t>
      </w:r>
      <w:r w:rsidRPr="00701DBB">
        <w:rPr>
          <w:rFonts w:ascii="Tahoma" w:eastAsia="SimSun" w:hAnsi="Tahoma" w:cs="Tahoma"/>
          <w:kern w:val="2"/>
          <w:lang w:eastAsia="zh-CN" w:bidi="hi-IN"/>
        </w:rPr>
        <w:t xml:space="preserve"> saluti.</w:t>
      </w:r>
    </w:p>
    <w:p w14:paraId="4B73274D" w14:textId="77777777" w:rsidR="00EF0A09" w:rsidRPr="00701DBB" w:rsidRDefault="00EF0A09" w:rsidP="00EF0A09">
      <w:pPr>
        <w:widowControl w:val="0"/>
        <w:suppressAutoHyphens/>
        <w:spacing w:after="0" w:line="260" w:lineRule="exact"/>
        <w:jc w:val="both"/>
        <w:rPr>
          <w:rFonts w:ascii="Tahoma" w:eastAsia="SimSun" w:hAnsi="Tahoma" w:cs="Tahoma"/>
          <w:kern w:val="2"/>
          <w:lang w:eastAsia="zh-CN" w:bidi="hi-IN"/>
        </w:rPr>
      </w:pPr>
    </w:p>
    <w:p w14:paraId="5F167E70" w14:textId="4A4C6E9E" w:rsidR="002016AF" w:rsidRPr="00701DBB" w:rsidRDefault="002016AF" w:rsidP="002016AF">
      <w:pPr>
        <w:widowControl w:val="0"/>
        <w:suppressAutoHyphens/>
        <w:spacing w:after="0" w:line="260" w:lineRule="exact"/>
        <w:jc w:val="both"/>
        <w:rPr>
          <w:rFonts w:ascii="Tahoma" w:eastAsia="SimSun" w:hAnsi="Tahoma" w:cs="Tahoma"/>
          <w:kern w:val="2"/>
          <w:lang w:eastAsia="zh-CN" w:bidi="hi-IN"/>
        </w:rPr>
      </w:pPr>
    </w:p>
    <w:p w14:paraId="7CFD8213" w14:textId="77777777" w:rsidR="002016AF" w:rsidRPr="00701DBB" w:rsidRDefault="002016AF" w:rsidP="002016AF">
      <w:pPr>
        <w:widowControl w:val="0"/>
        <w:suppressAutoHyphens/>
        <w:spacing w:after="0" w:line="260" w:lineRule="exact"/>
        <w:jc w:val="both"/>
        <w:rPr>
          <w:rFonts w:ascii="Tahoma" w:eastAsia="SimSun" w:hAnsi="Tahoma" w:cs="Tahoma"/>
          <w:kern w:val="2"/>
          <w:lang w:eastAsia="zh-CN" w:bidi="hi-IN"/>
        </w:rPr>
      </w:pPr>
    </w:p>
    <w:p w14:paraId="127B56AA" w14:textId="77777777" w:rsidR="002016AF" w:rsidRPr="00701DBB" w:rsidRDefault="002016AF" w:rsidP="002016AF">
      <w:pPr>
        <w:widowControl w:val="0"/>
        <w:suppressAutoHyphens/>
        <w:spacing w:after="0" w:line="260" w:lineRule="exact"/>
        <w:jc w:val="both"/>
        <w:rPr>
          <w:rFonts w:ascii="Tahoma" w:eastAsia="SimSun" w:hAnsi="Tahoma" w:cs="Tahoma"/>
          <w:kern w:val="2"/>
          <w:lang w:eastAsia="zh-CN" w:bidi="hi-IN"/>
        </w:rPr>
      </w:pPr>
    </w:p>
    <w:p w14:paraId="20B87341" w14:textId="77777777" w:rsidR="002016AF" w:rsidRPr="00701DBB" w:rsidRDefault="002016AF" w:rsidP="002016AF">
      <w:pPr>
        <w:widowControl w:val="0"/>
        <w:suppressAutoHyphens/>
        <w:spacing w:after="0" w:line="260" w:lineRule="exact"/>
        <w:jc w:val="both"/>
        <w:rPr>
          <w:rFonts w:ascii="Tahoma" w:eastAsia="SimSun" w:hAnsi="Tahoma" w:cs="Tahoma"/>
          <w:kern w:val="2"/>
          <w:lang w:eastAsia="zh-CN" w:bidi="hi-IN"/>
        </w:rPr>
      </w:pPr>
      <w:r w:rsidRPr="00701DBB">
        <w:rPr>
          <w:rFonts w:ascii="Tahoma" w:eastAsia="SimSun" w:hAnsi="Tahoma" w:cs="Tahoma"/>
          <w:kern w:val="2"/>
          <w:lang w:eastAsia="zh-CN" w:bidi="hi-IN"/>
        </w:rPr>
        <w:t>Distinti saluti.</w:t>
      </w:r>
    </w:p>
    <w:tbl>
      <w:tblPr>
        <w:tblW w:w="0" w:type="auto"/>
        <w:tblLook w:val="04A0" w:firstRow="1" w:lastRow="0" w:firstColumn="1" w:lastColumn="0" w:noHBand="0" w:noVBand="1"/>
      </w:tblPr>
      <w:tblGrid>
        <w:gridCol w:w="4253"/>
        <w:gridCol w:w="4915"/>
      </w:tblGrid>
      <w:tr w:rsidR="002016AF" w:rsidRPr="00701DBB" w14:paraId="1B14FBAD" w14:textId="77777777" w:rsidTr="00603BEF">
        <w:trPr>
          <w:trHeight w:val="365"/>
        </w:trPr>
        <w:tc>
          <w:tcPr>
            <w:tcW w:w="4253" w:type="dxa"/>
            <w:shd w:val="clear" w:color="auto" w:fill="auto"/>
          </w:tcPr>
          <w:p w14:paraId="5F2A40A1" w14:textId="77777777" w:rsidR="002016AF" w:rsidRPr="00701DBB" w:rsidRDefault="002016AF" w:rsidP="002016AF">
            <w:pPr>
              <w:widowControl w:val="0"/>
              <w:spacing w:after="0" w:line="260" w:lineRule="exact"/>
              <w:jc w:val="both"/>
              <w:rPr>
                <w:rFonts w:ascii="Tahoma" w:eastAsia="Calibri" w:hAnsi="Tahoma" w:cs="Tahoma"/>
              </w:rPr>
            </w:pPr>
          </w:p>
        </w:tc>
        <w:tc>
          <w:tcPr>
            <w:tcW w:w="4915" w:type="dxa"/>
            <w:shd w:val="clear" w:color="auto" w:fill="auto"/>
          </w:tcPr>
          <w:p w14:paraId="72FE4D48" w14:textId="77777777" w:rsidR="002016AF" w:rsidRPr="00701DBB" w:rsidRDefault="002016AF" w:rsidP="002016AF">
            <w:pPr>
              <w:widowControl w:val="0"/>
              <w:spacing w:after="0" w:line="260" w:lineRule="exact"/>
              <w:jc w:val="center"/>
              <w:rPr>
                <w:rFonts w:ascii="Tahoma" w:eastAsia="Calibri" w:hAnsi="Tahoma" w:cs="Tahoma"/>
                <w:b/>
              </w:rPr>
            </w:pPr>
          </w:p>
          <w:p w14:paraId="20E7B978" w14:textId="54128812" w:rsidR="002016AF" w:rsidRPr="00701DBB" w:rsidRDefault="002016AF" w:rsidP="002016AF">
            <w:pPr>
              <w:widowControl w:val="0"/>
              <w:spacing w:after="0" w:line="260" w:lineRule="exact"/>
              <w:jc w:val="center"/>
              <w:rPr>
                <w:rFonts w:ascii="Tahoma" w:eastAsia="Calibri" w:hAnsi="Tahoma" w:cs="Tahoma"/>
                <w:b/>
              </w:rPr>
            </w:pPr>
            <w:r w:rsidRPr="00701DBB">
              <w:rPr>
                <w:rFonts w:ascii="Tahoma" w:eastAsia="Calibri" w:hAnsi="Tahoma" w:cs="Tahoma"/>
                <w:b/>
              </w:rPr>
              <w:t>Impresa …..</w:t>
            </w:r>
          </w:p>
          <w:p w14:paraId="74C3033D" w14:textId="77777777" w:rsidR="002016AF" w:rsidRPr="00701DBB" w:rsidRDefault="002016AF" w:rsidP="002016AF">
            <w:pPr>
              <w:widowControl w:val="0"/>
              <w:tabs>
                <w:tab w:val="left" w:pos="-1843"/>
              </w:tabs>
              <w:spacing w:after="0" w:line="260" w:lineRule="exact"/>
              <w:jc w:val="center"/>
              <w:rPr>
                <w:rFonts w:ascii="Tahoma" w:eastAsia="Calibri" w:hAnsi="Tahoma" w:cs="Tahoma"/>
              </w:rPr>
            </w:pPr>
            <w:r w:rsidRPr="00701DBB">
              <w:rPr>
                <w:rFonts w:ascii="Tahoma" w:eastAsia="Calibri" w:hAnsi="Tahoma" w:cs="Tahoma"/>
              </w:rPr>
              <w:t>Il Procuratore Speciale</w:t>
            </w:r>
          </w:p>
          <w:p w14:paraId="78602269" w14:textId="77777777" w:rsidR="002016AF" w:rsidRPr="00701DBB" w:rsidRDefault="002016AF" w:rsidP="002016AF">
            <w:pPr>
              <w:widowControl w:val="0"/>
              <w:tabs>
                <w:tab w:val="left" w:pos="-1843"/>
              </w:tabs>
              <w:spacing w:after="0" w:line="260" w:lineRule="exact"/>
              <w:jc w:val="center"/>
              <w:rPr>
                <w:rFonts w:ascii="Tahoma" w:eastAsia="Calibri" w:hAnsi="Tahoma" w:cs="Tahoma"/>
                <w:highlight w:val="red"/>
              </w:rPr>
            </w:pPr>
            <w:r w:rsidRPr="00701DBB">
              <w:rPr>
                <w:rFonts w:ascii="Tahoma" w:eastAsia="Calibri" w:hAnsi="Tahoma" w:cs="Tahoma"/>
              </w:rPr>
              <w:t>[●]</w:t>
            </w:r>
          </w:p>
        </w:tc>
      </w:tr>
    </w:tbl>
    <w:p w14:paraId="0F07D41F" w14:textId="77777777" w:rsidR="002016AF" w:rsidRPr="00701DBB" w:rsidRDefault="002016AF" w:rsidP="002016AF">
      <w:pPr>
        <w:widowControl w:val="0"/>
        <w:suppressAutoHyphens/>
        <w:spacing w:after="0" w:line="260" w:lineRule="exact"/>
        <w:jc w:val="both"/>
        <w:rPr>
          <w:rFonts w:ascii="Tahoma" w:eastAsia="SimSun" w:hAnsi="Tahoma" w:cs="Tahoma"/>
          <w:i/>
          <w:kern w:val="2"/>
          <w:lang w:eastAsia="zh-CN" w:bidi="hi-IN"/>
        </w:rPr>
      </w:pPr>
    </w:p>
    <w:p w14:paraId="3A616C8C" w14:textId="77777777" w:rsidR="002016AF" w:rsidRPr="00701DBB" w:rsidRDefault="002016AF" w:rsidP="002016AF">
      <w:pPr>
        <w:widowControl w:val="0"/>
        <w:suppressAutoHyphens/>
        <w:spacing w:after="0" w:line="260" w:lineRule="exact"/>
        <w:jc w:val="both"/>
        <w:rPr>
          <w:rFonts w:ascii="Tahoma" w:eastAsia="SimSun" w:hAnsi="Tahoma" w:cs="Tahoma"/>
          <w:i/>
          <w:kern w:val="2"/>
          <w:lang w:eastAsia="zh-CN" w:bidi="hi-IN"/>
        </w:rPr>
      </w:pPr>
      <w:r w:rsidRPr="00701DBB">
        <w:rPr>
          <w:rFonts w:ascii="Tahoma" w:eastAsia="SimSun" w:hAnsi="Tahoma" w:cs="Tahoma"/>
          <w:i/>
          <w:kern w:val="2"/>
          <w:lang w:eastAsia="zh-CN" w:bidi="hi-IN"/>
        </w:rPr>
        <w:t>Allegati: c.s.d.</w:t>
      </w:r>
    </w:p>
    <w:p w14:paraId="22E4B08E" w14:textId="77777777" w:rsidR="008C4EE7" w:rsidRPr="00701DBB" w:rsidRDefault="008C4EE7" w:rsidP="005E2780">
      <w:pPr>
        <w:jc w:val="both"/>
        <w:rPr>
          <w:rFonts w:ascii="Tahoma" w:hAnsi="Tahoma" w:cs="Tahoma"/>
        </w:rPr>
      </w:pPr>
    </w:p>
    <w:p w14:paraId="742C72D5" w14:textId="4FDBD522" w:rsidR="007960BB" w:rsidRPr="00701DBB" w:rsidRDefault="007960BB" w:rsidP="00190A80">
      <w:pPr>
        <w:spacing w:after="0" w:line="240" w:lineRule="auto"/>
        <w:jc w:val="both"/>
        <w:rPr>
          <w:rFonts w:ascii="Tahoma" w:hAnsi="Tahoma" w:cs="Tahoma"/>
        </w:rPr>
      </w:pPr>
    </w:p>
    <w:sectPr w:rsidR="007960BB" w:rsidRPr="00701DB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0B8CD" w14:textId="77777777" w:rsidR="004212BE" w:rsidRDefault="004212BE" w:rsidP="005E2780">
      <w:pPr>
        <w:spacing w:after="0" w:line="240" w:lineRule="auto"/>
      </w:pPr>
      <w:r>
        <w:separator/>
      </w:r>
    </w:p>
  </w:endnote>
  <w:endnote w:type="continuationSeparator" w:id="0">
    <w:p w14:paraId="4D8CDC85" w14:textId="77777777" w:rsidR="004212BE" w:rsidRDefault="004212BE" w:rsidP="005E2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56FE3" w14:textId="77777777" w:rsidR="004212BE" w:rsidRDefault="004212BE" w:rsidP="005E2780">
      <w:pPr>
        <w:spacing w:after="0" w:line="240" w:lineRule="auto"/>
      </w:pPr>
      <w:r>
        <w:separator/>
      </w:r>
    </w:p>
  </w:footnote>
  <w:footnote w:type="continuationSeparator" w:id="0">
    <w:p w14:paraId="60F614F5" w14:textId="77777777" w:rsidR="004212BE" w:rsidRDefault="004212BE" w:rsidP="005E2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9D1"/>
    <w:multiLevelType w:val="hybridMultilevel"/>
    <w:tmpl w:val="7A685412"/>
    <w:lvl w:ilvl="0" w:tplc="04100011">
      <w:start w:val="1"/>
      <w:numFmt w:val="decimal"/>
      <w:lvlText w:val="%1)"/>
      <w:lvlJc w:val="left"/>
      <w:pPr>
        <w:ind w:left="720" w:hanging="360"/>
      </w:pPr>
      <w:rPr>
        <w:rFonts w:hint="default"/>
      </w:rPr>
    </w:lvl>
    <w:lvl w:ilvl="1" w:tplc="04100011">
      <w:start w:val="1"/>
      <w:numFmt w:val="decimal"/>
      <w:lvlText w:val="%2)"/>
      <w:lvlJc w:val="left"/>
      <w:pPr>
        <w:ind w:left="107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224E68"/>
    <w:multiLevelType w:val="hybridMultilevel"/>
    <w:tmpl w:val="7A323E9E"/>
    <w:lvl w:ilvl="0" w:tplc="01488DC6">
      <w:start w:val="1"/>
      <w:numFmt w:val="low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4793B16"/>
    <w:multiLevelType w:val="hybridMultilevel"/>
    <w:tmpl w:val="2DDE251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B03AE6"/>
    <w:multiLevelType w:val="hybridMultilevel"/>
    <w:tmpl w:val="D79CF8DE"/>
    <w:lvl w:ilvl="0" w:tplc="3E80217E">
      <w:numFmt w:val="bullet"/>
      <w:lvlText w:val="-"/>
      <w:lvlJc w:val="left"/>
      <w:pPr>
        <w:ind w:left="1080" w:hanging="360"/>
      </w:pPr>
      <w:rPr>
        <w:rFonts w:ascii="Calibri" w:eastAsia="Times New Roman" w:hAnsi="Calibri"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6EF32D0"/>
    <w:multiLevelType w:val="hybridMultilevel"/>
    <w:tmpl w:val="765E98E0"/>
    <w:lvl w:ilvl="0" w:tplc="04100001">
      <w:start w:val="1"/>
      <w:numFmt w:val="bullet"/>
      <w:lvlText w:val=""/>
      <w:lvlJc w:val="left"/>
      <w:pPr>
        <w:ind w:left="720" w:hanging="360"/>
      </w:pPr>
      <w:rPr>
        <w:rFonts w:ascii="Symbol"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666E4B"/>
    <w:multiLevelType w:val="hybridMultilevel"/>
    <w:tmpl w:val="2A9C28C0"/>
    <w:lvl w:ilvl="0" w:tplc="3E80217E">
      <w:numFmt w:val="bullet"/>
      <w:lvlText w:val="-"/>
      <w:lvlJc w:val="left"/>
      <w:pPr>
        <w:ind w:left="360" w:hanging="360"/>
      </w:pPr>
      <w:rPr>
        <w:rFonts w:ascii="Calibri" w:eastAsia="Times New Roman" w:hAnsi="Calibri"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D146E75"/>
    <w:multiLevelType w:val="hybridMultilevel"/>
    <w:tmpl w:val="02CCB5A6"/>
    <w:lvl w:ilvl="0" w:tplc="3E80217E">
      <w:numFmt w:val="bullet"/>
      <w:lvlText w:val="-"/>
      <w:lvlJc w:val="left"/>
      <w:pPr>
        <w:ind w:left="360" w:hanging="360"/>
      </w:pPr>
      <w:rPr>
        <w:rFonts w:ascii="Calibri" w:eastAsia="Times New Roman" w:hAnsi="Calibri" w:hint="default"/>
        <w:b/>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86B6B3D"/>
    <w:multiLevelType w:val="hybridMultilevel"/>
    <w:tmpl w:val="FA180228"/>
    <w:lvl w:ilvl="0" w:tplc="77B61D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0F1485"/>
    <w:multiLevelType w:val="hybridMultilevel"/>
    <w:tmpl w:val="3424A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941B2F"/>
    <w:multiLevelType w:val="hybridMultilevel"/>
    <w:tmpl w:val="68888BC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8B4EA7"/>
    <w:multiLevelType w:val="hybridMultilevel"/>
    <w:tmpl w:val="2E12D3C8"/>
    <w:lvl w:ilvl="0" w:tplc="3E80217E">
      <w:numFmt w:val="bullet"/>
      <w:lvlText w:val="-"/>
      <w:lvlJc w:val="left"/>
      <w:pPr>
        <w:ind w:left="360" w:hanging="360"/>
      </w:pPr>
      <w:rPr>
        <w:rFonts w:ascii="Calibri" w:eastAsia="Times New Roman" w:hAnsi="Calibri"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3137FEE"/>
    <w:multiLevelType w:val="hybridMultilevel"/>
    <w:tmpl w:val="41BACFB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1F5B79"/>
    <w:multiLevelType w:val="hybridMultilevel"/>
    <w:tmpl w:val="18F6F04E"/>
    <w:lvl w:ilvl="0" w:tplc="3E80217E">
      <w:numFmt w:val="bullet"/>
      <w:lvlText w:val="-"/>
      <w:lvlJc w:val="left"/>
      <w:pPr>
        <w:ind w:left="360" w:hanging="360"/>
      </w:pPr>
      <w:rPr>
        <w:rFonts w:ascii="Calibri" w:eastAsia="Times New Roman" w:hAnsi="Calibri"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74B416E"/>
    <w:multiLevelType w:val="hybridMultilevel"/>
    <w:tmpl w:val="DE9229D4"/>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5BA75A84"/>
    <w:multiLevelType w:val="hybridMultilevel"/>
    <w:tmpl w:val="D1F08168"/>
    <w:lvl w:ilvl="0" w:tplc="04100011">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15:restartNumberingAfterBreak="0">
    <w:nsid w:val="5CBA0803"/>
    <w:multiLevelType w:val="hybridMultilevel"/>
    <w:tmpl w:val="266C6B6A"/>
    <w:lvl w:ilvl="0" w:tplc="0410000F">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7F7D1C"/>
    <w:multiLevelType w:val="hybridMultilevel"/>
    <w:tmpl w:val="5132827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69A23849"/>
    <w:multiLevelType w:val="hybridMultilevel"/>
    <w:tmpl w:val="1E04DF8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B6C52EE"/>
    <w:multiLevelType w:val="hybridMultilevel"/>
    <w:tmpl w:val="7132FEE2"/>
    <w:lvl w:ilvl="0" w:tplc="0410000B">
      <w:start w:val="1"/>
      <w:numFmt w:val="bullet"/>
      <w:lvlText w:val=""/>
      <w:lvlJc w:val="left"/>
      <w:pPr>
        <w:ind w:left="720" w:hanging="360"/>
      </w:pPr>
      <w:rPr>
        <w:rFonts w:ascii="Wingdings" w:hAnsi="Wingdings" w:hint="default"/>
      </w:rPr>
    </w:lvl>
    <w:lvl w:ilvl="1" w:tplc="04100011">
      <w:start w:val="1"/>
      <w:numFmt w:val="decimal"/>
      <w:lvlText w:val="%2)"/>
      <w:lvlJc w:val="left"/>
      <w:pPr>
        <w:ind w:left="107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BA0D8A"/>
    <w:multiLevelType w:val="hybridMultilevel"/>
    <w:tmpl w:val="8AC2AE04"/>
    <w:lvl w:ilvl="0" w:tplc="0A9EBD16">
      <w:start w:val="3"/>
      <w:numFmt w:val="bullet"/>
      <w:lvlText w:val="-"/>
      <w:lvlJc w:val="left"/>
      <w:pPr>
        <w:ind w:left="2520" w:hanging="360"/>
      </w:pPr>
      <w:rPr>
        <w:rFonts w:ascii="Tahoma" w:eastAsia="SimSun" w:hAnsi="Tahoma" w:hint="default"/>
      </w:rPr>
    </w:lvl>
    <w:lvl w:ilvl="1" w:tplc="04100003" w:tentative="1">
      <w:start w:val="1"/>
      <w:numFmt w:val="bullet"/>
      <w:lvlText w:val="o"/>
      <w:lvlJc w:val="left"/>
      <w:pPr>
        <w:ind w:left="3240" w:hanging="360"/>
      </w:pPr>
      <w:rPr>
        <w:rFonts w:ascii="Courier New" w:hAnsi="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20" w15:restartNumberingAfterBreak="0">
    <w:nsid w:val="75B7503C"/>
    <w:multiLevelType w:val="hybridMultilevel"/>
    <w:tmpl w:val="614617CA"/>
    <w:lvl w:ilvl="0" w:tplc="6B3AEBDE">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CF7712"/>
    <w:multiLevelType w:val="hybridMultilevel"/>
    <w:tmpl w:val="6D2CB39A"/>
    <w:lvl w:ilvl="0" w:tplc="3E80217E">
      <w:numFmt w:val="bullet"/>
      <w:lvlText w:val="-"/>
      <w:lvlJc w:val="left"/>
      <w:pPr>
        <w:ind w:left="360" w:hanging="360"/>
      </w:pPr>
      <w:rPr>
        <w:rFonts w:ascii="Calibri" w:eastAsia="Times New Roman" w:hAnsi="Calibri"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F083303"/>
    <w:multiLevelType w:val="hybridMultilevel"/>
    <w:tmpl w:val="DE9229D4"/>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2"/>
  </w:num>
  <w:num w:numId="2">
    <w:abstractNumId w:val="7"/>
  </w:num>
  <w:num w:numId="3">
    <w:abstractNumId w:val="11"/>
  </w:num>
  <w:num w:numId="4">
    <w:abstractNumId w:val="17"/>
  </w:num>
  <w:num w:numId="5">
    <w:abstractNumId w:val="18"/>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0"/>
  </w:num>
  <w:num w:numId="12">
    <w:abstractNumId w:val="6"/>
  </w:num>
  <w:num w:numId="13">
    <w:abstractNumId w:val="0"/>
  </w:num>
  <w:num w:numId="14">
    <w:abstractNumId w:val="5"/>
  </w:num>
  <w:num w:numId="15">
    <w:abstractNumId w:val="8"/>
  </w:num>
  <w:num w:numId="16">
    <w:abstractNumId w:val="4"/>
  </w:num>
  <w:num w:numId="17">
    <w:abstractNumId w:val="10"/>
  </w:num>
  <w:num w:numId="18">
    <w:abstractNumId w:val="12"/>
  </w:num>
  <w:num w:numId="19">
    <w:abstractNumId w:val="21"/>
  </w:num>
  <w:num w:numId="20">
    <w:abstractNumId w:val="3"/>
  </w:num>
  <w:num w:numId="21">
    <w:abstractNumId w:val="1"/>
  </w:num>
  <w:num w:numId="22">
    <w:abstractNumId w:val="19"/>
  </w:num>
  <w:num w:numId="23">
    <w:abstractNumId w:val="13"/>
  </w:num>
  <w:num w:numId="24">
    <w:abstractNumId w:val="22"/>
  </w:num>
  <w:num w:numId="25">
    <w:abstractNumId w:val="15"/>
  </w:num>
  <w:num w:numId="26">
    <w:abstractNumId w:val="6"/>
  </w:num>
  <w:num w:numId="27">
    <w:abstractNumId w:val="1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5D9"/>
    <w:rsid w:val="000024D4"/>
    <w:rsid w:val="00006557"/>
    <w:rsid w:val="000076DA"/>
    <w:rsid w:val="000151FF"/>
    <w:rsid w:val="000456E6"/>
    <w:rsid w:val="000479C3"/>
    <w:rsid w:val="00051F63"/>
    <w:rsid w:val="00053087"/>
    <w:rsid w:val="00056958"/>
    <w:rsid w:val="00060416"/>
    <w:rsid w:val="0006617A"/>
    <w:rsid w:val="00066768"/>
    <w:rsid w:val="00085E20"/>
    <w:rsid w:val="000871E2"/>
    <w:rsid w:val="000947EF"/>
    <w:rsid w:val="00095E69"/>
    <w:rsid w:val="000B18DE"/>
    <w:rsid w:val="000C74A1"/>
    <w:rsid w:val="000C794C"/>
    <w:rsid w:val="000D60D5"/>
    <w:rsid w:val="000F5934"/>
    <w:rsid w:val="001016DA"/>
    <w:rsid w:val="00103E33"/>
    <w:rsid w:val="00105740"/>
    <w:rsid w:val="0011397B"/>
    <w:rsid w:val="0012556E"/>
    <w:rsid w:val="00127A40"/>
    <w:rsid w:val="00133650"/>
    <w:rsid w:val="00133970"/>
    <w:rsid w:val="0013472F"/>
    <w:rsid w:val="00135FEF"/>
    <w:rsid w:val="00151E45"/>
    <w:rsid w:val="00151EB0"/>
    <w:rsid w:val="00155D2B"/>
    <w:rsid w:val="0015750A"/>
    <w:rsid w:val="00157CD7"/>
    <w:rsid w:val="00176EE6"/>
    <w:rsid w:val="00177275"/>
    <w:rsid w:val="00181B7A"/>
    <w:rsid w:val="00183F78"/>
    <w:rsid w:val="00190A80"/>
    <w:rsid w:val="00191115"/>
    <w:rsid w:val="00192635"/>
    <w:rsid w:val="001A5CEA"/>
    <w:rsid w:val="001B2CF2"/>
    <w:rsid w:val="001C00CF"/>
    <w:rsid w:val="001C7BC2"/>
    <w:rsid w:val="001D4B7B"/>
    <w:rsid w:val="001F406E"/>
    <w:rsid w:val="002016AF"/>
    <w:rsid w:val="002048B1"/>
    <w:rsid w:val="002049B8"/>
    <w:rsid w:val="0020663F"/>
    <w:rsid w:val="00207E48"/>
    <w:rsid w:val="002105E9"/>
    <w:rsid w:val="0022018B"/>
    <w:rsid w:val="0022114D"/>
    <w:rsid w:val="00222D30"/>
    <w:rsid w:val="00222E99"/>
    <w:rsid w:val="00231EC9"/>
    <w:rsid w:val="00232EB5"/>
    <w:rsid w:val="00233C0C"/>
    <w:rsid w:val="002360D0"/>
    <w:rsid w:val="00237BD2"/>
    <w:rsid w:val="00242AFC"/>
    <w:rsid w:val="00247C84"/>
    <w:rsid w:val="00247CFD"/>
    <w:rsid w:val="0025065C"/>
    <w:rsid w:val="00253480"/>
    <w:rsid w:val="002545D3"/>
    <w:rsid w:val="00254C53"/>
    <w:rsid w:val="00256781"/>
    <w:rsid w:val="0025738C"/>
    <w:rsid w:val="00277B5F"/>
    <w:rsid w:val="00280FE6"/>
    <w:rsid w:val="00281461"/>
    <w:rsid w:val="0028386E"/>
    <w:rsid w:val="00283A95"/>
    <w:rsid w:val="00287A47"/>
    <w:rsid w:val="002963AF"/>
    <w:rsid w:val="00296A2D"/>
    <w:rsid w:val="00297547"/>
    <w:rsid w:val="002A4F49"/>
    <w:rsid w:val="002B0EB0"/>
    <w:rsid w:val="002B2EAA"/>
    <w:rsid w:val="002C1AB4"/>
    <w:rsid w:val="002C4960"/>
    <w:rsid w:val="002D6229"/>
    <w:rsid w:val="002D63B2"/>
    <w:rsid w:val="002D798E"/>
    <w:rsid w:val="002E18B6"/>
    <w:rsid w:val="002E51D5"/>
    <w:rsid w:val="002F0996"/>
    <w:rsid w:val="002F36B9"/>
    <w:rsid w:val="002F36F9"/>
    <w:rsid w:val="00303D5A"/>
    <w:rsid w:val="00305029"/>
    <w:rsid w:val="00315930"/>
    <w:rsid w:val="00315E60"/>
    <w:rsid w:val="0032203D"/>
    <w:rsid w:val="00326EB7"/>
    <w:rsid w:val="00326F25"/>
    <w:rsid w:val="00364028"/>
    <w:rsid w:val="003711CE"/>
    <w:rsid w:val="00373DA0"/>
    <w:rsid w:val="003762D9"/>
    <w:rsid w:val="00377419"/>
    <w:rsid w:val="00382081"/>
    <w:rsid w:val="00393883"/>
    <w:rsid w:val="0039489B"/>
    <w:rsid w:val="00394C48"/>
    <w:rsid w:val="003A0122"/>
    <w:rsid w:val="003A25B8"/>
    <w:rsid w:val="003B4DB1"/>
    <w:rsid w:val="003C0B52"/>
    <w:rsid w:val="003D0782"/>
    <w:rsid w:val="003D171E"/>
    <w:rsid w:val="003D36F9"/>
    <w:rsid w:val="003D3EC6"/>
    <w:rsid w:val="0041093B"/>
    <w:rsid w:val="004138A5"/>
    <w:rsid w:val="00413E7A"/>
    <w:rsid w:val="00416222"/>
    <w:rsid w:val="004212BE"/>
    <w:rsid w:val="004232FE"/>
    <w:rsid w:val="004241EE"/>
    <w:rsid w:val="004278B7"/>
    <w:rsid w:val="00432910"/>
    <w:rsid w:val="00443B24"/>
    <w:rsid w:val="00444A80"/>
    <w:rsid w:val="004464F8"/>
    <w:rsid w:val="00452B40"/>
    <w:rsid w:val="00452DE0"/>
    <w:rsid w:val="00454758"/>
    <w:rsid w:val="00460A16"/>
    <w:rsid w:val="00466763"/>
    <w:rsid w:val="00471488"/>
    <w:rsid w:val="00480189"/>
    <w:rsid w:val="004A5ED8"/>
    <w:rsid w:val="004B1CB8"/>
    <w:rsid w:val="004B5D8D"/>
    <w:rsid w:val="004B7E65"/>
    <w:rsid w:val="004C6CA8"/>
    <w:rsid w:val="004C734C"/>
    <w:rsid w:val="004D46BA"/>
    <w:rsid w:val="004D5485"/>
    <w:rsid w:val="004E0458"/>
    <w:rsid w:val="004E362A"/>
    <w:rsid w:val="004F1CF4"/>
    <w:rsid w:val="004F2649"/>
    <w:rsid w:val="00501831"/>
    <w:rsid w:val="005073E8"/>
    <w:rsid w:val="005352BB"/>
    <w:rsid w:val="0055564E"/>
    <w:rsid w:val="0055690A"/>
    <w:rsid w:val="005624CF"/>
    <w:rsid w:val="005758E8"/>
    <w:rsid w:val="00584C6F"/>
    <w:rsid w:val="00584E07"/>
    <w:rsid w:val="00597067"/>
    <w:rsid w:val="005A1F2C"/>
    <w:rsid w:val="005A2461"/>
    <w:rsid w:val="005A515B"/>
    <w:rsid w:val="005B3DA8"/>
    <w:rsid w:val="005B6395"/>
    <w:rsid w:val="005B6CEB"/>
    <w:rsid w:val="005C08BA"/>
    <w:rsid w:val="005C127B"/>
    <w:rsid w:val="005C3276"/>
    <w:rsid w:val="005D3156"/>
    <w:rsid w:val="005D7F71"/>
    <w:rsid w:val="005E23AE"/>
    <w:rsid w:val="005E2780"/>
    <w:rsid w:val="005E5CB9"/>
    <w:rsid w:val="005E79A8"/>
    <w:rsid w:val="005F08AD"/>
    <w:rsid w:val="005F18A1"/>
    <w:rsid w:val="005F1CEC"/>
    <w:rsid w:val="006002FF"/>
    <w:rsid w:val="0060067B"/>
    <w:rsid w:val="0060188F"/>
    <w:rsid w:val="00607299"/>
    <w:rsid w:val="00610D4C"/>
    <w:rsid w:val="00611B20"/>
    <w:rsid w:val="00620976"/>
    <w:rsid w:val="00622401"/>
    <w:rsid w:val="006227E5"/>
    <w:rsid w:val="0063712F"/>
    <w:rsid w:val="00642785"/>
    <w:rsid w:val="00642C72"/>
    <w:rsid w:val="00643863"/>
    <w:rsid w:val="00644B56"/>
    <w:rsid w:val="00654072"/>
    <w:rsid w:val="006709FE"/>
    <w:rsid w:val="006742DA"/>
    <w:rsid w:val="00682CCD"/>
    <w:rsid w:val="00683197"/>
    <w:rsid w:val="00683B10"/>
    <w:rsid w:val="006876B7"/>
    <w:rsid w:val="00691D91"/>
    <w:rsid w:val="00696CB1"/>
    <w:rsid w:val="006974EE"/>
    <w:rsid w:val="006B55CB"/>
    <w:rsid w:val="006C0201"/>
    <w:rsid w:val="006C05C7"/>
    <w:rsid w:val="006C2C91"/>
    <w:rsid w:val="006C4B1D"/>
    <w:rsid w:val="006C6B2B"/>
    <w:rsid w:val="006D7156"/>
    <w:rsid w:val="006E3C03"/>
    <w:rsid w:val="006E6D47"/>
    <w:rsid w:val="006F15B4"/>
    <w:rsid w:val="006F1DBF"/>
    <w:rsid w:val="006F7BC5"/>
    <w:rsid w:val="00701C5D"/>
    <w:rsid w:val="00701DBB"/>
    <w:rsid w:val="007032FE"/>
    <w:rsid w:val="00703F3C"/>
    <w:rsid w:val="00705AA8"/>
    <w:rsid w:val="007137C3"/>
    <w:rsid w:val="00715F9A"/>
    <w:rsid w:val="00721A5F"/>
    <w:rsid w:val="00725159"/>
    <w:rsid w:val="007278E8"/>
    <w:rsid w:val="00732A92"/>
    <w:rsid w:val="00735A57"/>
    <w:rsid w:val="007405CC"/>
    <w:rsid w:val="0074125F"/>
    <w:rsid w:val="0074568F"/>
    <w:rsid w:val="00746D9C"/>
    <w:rsid w:val="00755114"/>
    <w:rsid w:val="007605FF"/>
    <w:rsid w:val="00762AED"/>
    <w:rsid w:val="00762C7B"/>
    <w:rsid w:val="007747F3"/>
    <w:rsid w:val="007960BB"/>
    <w:rsid w:val="007A1164"/>
    <w:rsid w:val="007A49A4"/>
    <w:rsid w:val="007B41A5"/>
    <w:rsid w:val="007B74DD"/>
    <w:rsid w:val="007C202E"/>
    <w:rsid w:val="007C615B"/>
    <w:rsid w:val="007C73CA"/>
    <w:rsid w:val="007D4418"/>
    <w:rsid w:val="007E4E23"/>
    <w:rsid w:val="007E603F"/>
    <w:rsid w:val="007F18BE"/>
    <w:rsid w:val="007F344A"/>
    <w:rsid w:val="008021B7"/>
    <w:rsid w:val="00802B21"/>
    <w:rsid w:val="00806752"/>
    <w:rsid w:val="00811046"/>
    <w:rsid w:val="00812EFA"/>
    <w:rsid w:val="00822C3F"/>
    <w:rsid w:val="008242E1"/>
    <w:rsid w:val="00831158"/>
    <w:rsid w:val="00831456"/>
    <w:rsid w:val="00834092"/>
    <w:rsid w:val="0083438D"/>
    <w:rsid w:val="00834EF4"/>
    <w:rsid w:val="00835829"/>
    <w:rsid w:val="008369A4"/>
    <w:rsid w:val="00836D6E"/>
    <w:rsid w:val="00844043"/>
    <w:rsid w:val="00844F0C"/>
    <w:rsid w:val="00846A55"/>
    <w:rsid w:val="00847C79"/>
    <w:rsid w:val="0085534A"/>
    <w:rsid w:val="00871073"/>
    <w:rsid w:val="00881424"/>
    <w:rsid w:val="00881F19"/>
    <w:rsid w:val="008845AA"/>
    <w:rsid w:val="008854EA"/>
    <w:rsid w:val="008942E2"/>
    <w:rsid w:val="008974DC"/>
    <w:rsid w:val="008A1987"/>
    <w:rsid w:val="008A2B84"/>
    <w:rsid w:val="008B1826"/>
    <w:rsid w:val="008B213D"/>
    <w:rsid w:val="008B440E"/>
    <w:rsid w:val="008B4884"/>
    <w:rsid w:val="008B6DDE"/>
    <w:rsid w:val="008B7262"/>
    <w:rsid w:val="008C4EE7"/>
    <w:rsid w:val="008C750E"/>
    <w:rsid w:val="008C7B67"/>
    <w:rsid w:val="008D2B03"/>
    <w:rsid w:val="008D67AA"/>
    <w:rsid w:val="008E6B45"/>
    <w:rsid w:val="008E7871"/>
    <w:rsid w:val="009037D1"/>
    <w:rsid w:val="00923137"/>
    <w:rsid w:val="00934102"/>
    <w:rsid w:val="009369DD"/>
    <w:rsid w:val="00944E5C"/>
    <w:rsid w:val="0094722D"/>
    <w:rsid w:val="00956064"/>
    <w:rsid w:val="00965D08"/>
    <w:rsid w:val="00966D25"/>
    <w:rsid w:val="009728EE"/>
    <w:rsid w:val="00981642"/>
    <w:rsid w:val="00986C39"/>
    <w:rsid w:val="00990490"/>
    <w:rsid w:val="0099316F"/>
    <w:rsid w:val="00993BED"/>
    <w:rsid w:val="009955EE"/>
    <w:rsid w:val="00995F4B"/>
    <w:rsid w:val="00996759"/>
    <w:rsid w:val="009967DD"/>
    <w:rsid w:val="009A2050"/>
    <w:rsid w:val="009B1A52"/>
    <w:rsid w:val="009B5636"/>
    <w:rsid w:val="009B5F6C"/>
    <w:rsid w:val="009C05F1"/>
    <w:rsid w:val="009C11DD"/>
    <w:rsid w:val="009C1B35"/>
    <w:rsid w:val="009F4D8E"/>
    <w:rsid w:val="00A00B68"/>
    <w:rsid w:val="00A06FEF"/>
    <w:rsid w:val="00A07480"/>
    <w:rsid w:val="00A1187C"/>
    <w:rsid w:val="00A24A35"/>
    <w:rsid w:val="00A264E1"/>
    <w:rsid w:val="00A335EB"/>
    <w:rsid w:val="00A33A0C"/>
    <w:rsid w:val="00A353EF"/>
    <w:rsid w:val="00A3746B"/>
    <w:rsid w:val="00A4228A"/>
    <w:rsid w:val="00A43AC4"/>
    <w:rsid w:val="00A44142"/>
    <w:rsid w:val="00A57788"/>
    <w:rsid w:val="00A614DE"/>
    <w:rsid w:val="00A647D1"/>
    <w:rsid w:val="00A72488"/>
    <w:rsid w:val="00A76A1C"/>
    <w:rsid w:val="00A81AAC"/>
    <w:rsid w:val="00A974D2"/>
    <w:rsid w:val="00AA441A"/>
    <w:rsid w:val="00AA6699"/>
    <w:rsid w:val="00AB08B9"/>
    <w:rsid w:val="00AC0C76"/>
    <w:rsid w:val="00AC4A9A"/>
    <w:rsid w:val="00AC7E22"/>
    <w:rsid w:val="00AD1CC8"/>
    <w:rsid w:val="00AD5575"/>
    <w:rsid w:val="00AD7CF0"/>
    <w:rsid w:val="00AE0C8F"/>
    <w:rsid w:val="00AE2915"/>
    <w:rsid w:val="00AE4F09"/>
    <w:rsid w:val="00AE6087"/>
    <w:rsid w:val="00AE68C8"/>
    <w:rsid w:val="00AE7260"/>
    <w:rsid w:val="00AF4C0D"/>
    <w:rsid w:val="00AF5358"/>
    <w:rsid w:val="00AF752D"/>
    <w:rsid w:val="00B062AE"/>
    <w:rsid w:val="00B06992"/>
    <w:rsid w:val="00B06E89"/>
    <w:rsid w:val="00B1422F"/>
    <w:rsid w:val="00B149FA"/>
    <w:rsid w:val="00B33791"/>
    <w:rsid w:val="00B40AE1"/>
    <w:rsid w:val="00B43544"/>
    <w:rsid w:val="00B4493E"/>
    <w:rsid w:val="00B47C24"/>
    <w:rsid w:val="00B50391"/>
    <w:rsid w:val="00B56253"/>
    <w:rsid w:val="00B57426"/>
    <w:rsid w:val="00B82A48"/>
    <w:rsid w:val="00B86A94"/>
    <w:rsid w:val="00B91AAF"/>
    <w:rsid w:val="00BA2DA2"/>
    <w:rsid w:val="00BA3B3E"/>
    <w:rsid w:val="00BB21F9"/>
    <w:rsid w:val="00BB2659"/>
    <w:rsid w:val="00BB50C3"/>
    <w:rsid w:val="00BC4A47"/>
    <w:rsid w:val="00BD409D"/>
    <w:rsid w:val="00BD7896"/>
    <w:rsid w:val="00BE083C"/>
    <w:rsid w:val="00BF07F9"/>
    <w:rsid w:val="00C05220"/>
    <w:rsid w:val="00C0651C"/>
    <w:rsid w:val="00C1588E"/>
    <w:rsid w:val="00C2367C"/>
    <w:rsid w:val="00C2543A"/>
    <w:rsid w:val="00C30E30"/>
    <w:rsid w:val="00C31281"/>
    <w:rsid w:val="00C33573"/>
    <w:rsid w:val="00C35972"/>
    <w:rsid w:val="00C47D6C"/>
    <w:rsid w:val="00C5166C"/>
    <w:rsid w:val="00C607B6"/>
    <w:rsid w:val="00C62769"/>
    <w:rsid w:val="00C659AF"/>
    <w:rsid w:val="00C73669"/>
    <w:rsid w:val="00C75FCD"/>
    <w:rsid w:val="00CB4B4F"/>
    <w:rsid w:val="00CB5DE8"/>
    <w:rsid w:val="00CB6B61"/>
    <w:rsid w:val="00CC012D"/>
    <w:rsid w:val="00CC1F12"/>
    <w:rsid w:val="00CC74EF"/>
    <w:rsid w:val="00CD49AB"/>
    <w:rsid w:val="00CE480A"/>
    <w:rsid w:val="00CE6CF7"/>
    <w:rsid w:val="00CE7310"/>
    <w:rsid w:val="00CE7F01"/>
    <w:rsid w:val="00CE7F1A"/>
    <w:rsid w:val="00CF0C90"/>
    <w:rsid w:val="00CF176B"/>
    <w:rsid w:val="00D009F2"/>
    <w:rsid w:val="00D028C5"/>
    <w:rsid w:val="00D067C4"/>
    <w:rsid w:val="00D06E54"/>
    <w:rsid w:val="00D16009"/>
    <w:rsid w:val="00D17A7B"/>
    <w:rsid w:val="00D35BCF"/>
    <w:rsid w:val="00D55C6E"/>
    <w:rsid w:val="00D60A3E"/>
    <w:rsid w:val="00D653FC"/>
    <w:rsid w:val="00D670E7"/>
    <w:rsid w:val="00D73FC5"/>
    <w:rsid w:val="00D7530B"/>
    <w:rsid w:val="00D76499"/>
    <w:rsid w:val="00D80706"/>
    <w:rsid w:val="00D855CB"/>
    <w:rsid w:val="00D86325"/>
    <w:rsid w:val="00D86347"/>
    <w:rsid w:val="00D901A7"/>
    <w:rsid w:val="00D911E2"/>
    <w:rsid w:val="00DA2108"/>
    <w:rsid w:val="00DB68E5"/>
    <w:rsid w:val="00DC15D9"/>
    <w:rsid w:val="00DD2B11"/>
    <w:rsid w:val="00DD3816"/>
    <w:rsid w:val="00DD7D77"/>
    <w:rsid w:val="00DE6E72"/>
    <w:rsid w:val="00DE6EF9"/>
    <w:rsid w:val="00DE79B4"/>
    <w:rsid w:val="00DF01C5"/>
    <w:rsid w:val="00DF0E91"/>
    <w:rsid w:val="00DF4DFE"/>
    <w:rsid w:val="00DF4E8B"/>
    <w:rsid w:val="00DF6950"/>
    <w:rsid w:val="00E04CE7"/>
    <w:rsid w:val="00E05B79"/>
    <w:rsid w:val="00E1305C"/>
    <w:rsid w:val="00E156DB"/>
    <w:rsid w:val="00E2173A"/>
    <w:rsid w:val="00E267AC"/>
    <w:rsid w:val="00E30515"/>
    <w:rsid w:val="00E42DF0"/>
    <w:rsid w:val="00E438B5"/>
    <w:rsid w:val="00E46243"/>
    <w:rsid w:val="00E46E70"/>
    <w:rsid w:val="00E565B5"/>
    <w:rsid w:val="00E6202C"/>
    <w:rsid w:val="00E624F7"/>
    <w:rsid w:val="00E67839"/>
    <w:rsid w:val="00E71585"/>
    <w:rsid w:val="00E71CFB"/>
    <w:rsid w:val="00E802D3"/>
    <w:rsid w:val="00E81175"/>
    <w:rsid w:val="00E8249F"/>
    <w:rsid w:val="00E87F2D"/>
    <w:rsid w:val="00E9242A"/>
    <w:rsid w:val="00E9522B"/>
    <w:rsid w:val="00E97024"/>
    <w:rsid w:val="00EA2F54"/>
    <w:rsid w:val="00EA3C49"/>
    <w:rsid w:val="00EB63D5"/>
    <w:rsid w:val="00EB6CDA"/>
    <w:rsid w:val="00EC3424"/>
    <w:rsid w:val="00EC367A"/>
    <w:rsid w:val="00EC59EF"/>
    <w:rsid w:val="00EC649A"/>
    <w:rsid w:val="00EC7AC0"/>
    <w:rsid w:val="00ED145F"/>
    <w:rsid w:val="00ED61D3"/>
    <w:rsid w:val="00EE1B1F"/>
    <w:rsid w:val="00EE33A4"/>
    <w:rsid w:val="00EF0A09"/>
    <w:rsid w:val="00EF35E7"/>
    <w:rsid w:val="00F046FC"/>
    <w:rsid w:val="00F13971"/>
    <w:rsid w:val="00F225F5"/>
    <w:rsid w:val="00F254D5"/>
    <w:rsid w:val="00F25635"/>
    <w:rsid w:val="00F27392"/>
    <w:rsid w:val="00F40A35"/>
    <w:rsid w:val="00F5649D"/>
    <w:rsid w:val="00F64479"/>
    <w:rsid w:val="00F739D7"/>
    <w:rsid w:val="00F75B17"/>
    <w:rsid w:val="00F804EF"/>
    <w:rsid w:val="00F871B8"/>
    <w:rsid w:val="00F87B3A"/>
    <w:rsid w:val="00F97566"/>
    <w:rsid w:val="00FA1C45"/>
    <w:rsid w:val="00FA2CAA"/>
    <w:rsid w:val="00FA5306"/>
    <w:rsid w:val="00FA595E"/>
    <w:rsid w:val="00FB0463"/>
    <w:rsid w:val="00FB6341"/>
    <w:rsid w:val="00FC23CB"/>
    <w:rsid w:val="00FE6EA7"/>
    <w:rsid w:val="00FF60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D5B8"/>
  <w15:docId w15:val="{B757D57A-A48B-4086-B23E-C56A4043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E33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D0782"/>
    <w:pPr>
      <w:ind w:left="720"/>
      <w:contextualSpacing/>
    </w:pPr>
  </w:style>
  <w:style w:type="paragraph" w:styleId="Testonotaapidipagina">
    <w:name w:val="footnote text"/>
    <w:basedOn w:val="Normale"/>
    <w:link w:val="TestonotaapidipaginaCarattere"/>
    <w:uiPriority w:val="99"/>
    <w:semiHidden/>
    <w:unhideWhenUsed/>
    <w:rsid w:val="005E278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E2780"/>
    <w:rPr>
      <w:sz w:val="20"/>
      <w:szCs w:val="20"/>
    </w:rPr>
  </w:style>
  <w:style w:type="character" w:styleId="Rimandonotaapidipagina">
    <w:name w:val="footnote reference"/>
    <w:basedOn w:val="Carpredefinitoparagrafo"/>
    <w:semiHidden/>
    <w:unhideWhenUsed/>
    <w:rsid w:val="005E2780"/>
    <w:rPr>
      <w:vertAlign w:val="superscript"/>
    </w:rPr>
  </w:style>
  <w:style w:type="paragraph" w:styleId="Intestazione">
    <w:name w:val="header"/>
    <w:basedOn w:val="Normale"/>
    <w:link w:val="IntestazioneCarattere"/>
    <w:uiPriority w:val="99"/>
    <w:unhideWhenUsed/>
    <w:rsid w:val="00D670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70E7"/>
  </w:style>
  <w:style w:type="paragraph" w:styleId="Pidipagina">
    <w:name w:val="footer"/>
    <w:basedOn w:val="Normale"/>
    <w:link w:val="PidipaginaCarattere"/>
    <w:uiPriority w:val="99"/>
    <w:unhideWhenUsed/>
    <w:rsid w:val="00D670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70E7"/>
  </w:style>
  <w:style w:type="character" w:customStyle="1" w:styleId="Titolo1Carattere">
    <w:name w:val="Titolo 1 Carattere"/>
    <w:basedOn w:val="Carpredefinitoparagrafo"/>
    <w:link w:val="Titolo1"/>
    <w:uiPriority w:val="9"/>
    <w:rsid w:val="00EE33A4"/>
    <w:rPr>
      <w:rFonts w:asciiTheme="majorHAnsi" w:eastAsiaTheme="majorEastAsia" w:hAnsiTheme="majorHAnsi" w:cstheme="majorBidi"/>
      <w:color w:val="2F5496" w:themeColor="accent1" w:themeShade="BF"/>
      <w:sz w:val="32"/>
      <w:szCs w:val="32"/>
    </w:rPr>
  </w:style>
  <w:style w:type="paragraph" w:customStyle="1" w:styleId="Default">
    <w:name w:val="Default"/>
    <w:rsid w:val="00FC23CB"/>
    <w:pPr>
      <w:autoSpaceDE w:val="0"/>
      <w:autoSpaceDN w:val="0"/>
      <w:adjustRightInd w:val="0"/>
      <w:spacing w:after="0" w:line="240" w:lineRule="auto"/>
    </w:pPr>
    <w:rPr>
      <w:rFonts w:ascii="Verdana" w:hAnsi="Verdana" w:cs="Verdana"/>
      <w:color w:val="000000"/>
      <w:sz w:val="24"/>
      <w:szCs w:val="24"/>
    </w:rPr>
  </w:style>
  <w:style w:type="paragraph" w:styleId="Revisione">
    <w:name w:val="Revision"/>
    <w:hidden/>
    <w:uiPriority w:val="99"/>
    <w:semiHidden/>
    <w:rsid w:val="00D911E2"/>
    <w:pPr>
      <w:spacing w:after="0" w:line="240" w:lineRule="auto"/>
    </w:pPr>
  </w:style>
  <w:style w:type="character" w:styleId="Rimandocommento">
    <w:name w:val="annotation reference"/>
    <w:basedOn w:val="Carpredefinitoparagrafo"/>
    <w:uiPriority w:val="99"/>
    <w:semiHidden/>
    <w:unhideWhenUsed/>
    <w:rsid w:val="008C4EE7"/>
    <w:rPr>
      <w:rFonts w:cs="Times New Roman"/>
      <w:sz w:val="16"/>
      <w:szCs w:val="16"/>
    </w:rPr>
  </w:style>
  <w:style w:type="paragraph" w:styleId="Testocommento">
    <w:name w:val="annotation text"/>
    <w:basedOn w:val="Normale"/>
    <w:link w:val="TestocommentoCarattere"/>
    <w:uiPriority w:val="99"/>
    <w:semiHidden/>
    <w:unhideWhenUsed/>
    <w:rsid w:val="008C4EE7"/>
    <w:pPr>
      <w:widowControl w:val="0"/>
      <w:spacing w:after="200" w:line="240" w:lineRule="auto"/>
    </w:pPr>
    <w:rPr>
      <w:rFonts w:ascii="Calibri" w:eastAsia="Times New Roman"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8C4EE7"/>
    <w:rPr>
      <w:rFonts w:ascii="Calibri" w:eastAsia="Times New Roman" w:hAnsi="Calibri" w:cs="Times New Roman"/>
      <w:sz w:val="20"/>
      <w:szCs w:val="20"/>
      <w:lang w:val="en-US"/>
    </w:rPr>
  </w:style>
  <w:style w:type="paragraph" w:styleId="Testofumetto">
    <w:name w:val="Balloon Text"/>
    <w:basedOn w:val="Normale"/>
    <w:link w:val="TestofumettoCarattere"/>
    <w:uiPriority w:val="99"/>
    <w:semiHidden/>
    <w:unhideWhenUsed/>
    <w:rsid w:val="008C4E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4E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695">
      <w:bodyDiv w:val="1"/>
      <w:marLeft w:val="0"/>
      <w:marRight w:val="0"/>
      <w:marTop w:val="0"/>
      <w:marBottom w:val="0"/>
      <w:divBdr>
        <w:top w:val="none" w:sz="0" w:space="0" w:color="auto"/>
        <w:left w:val="none" w:sz="0" w:space="0" w:color="auto"/>
        <w:bottom w:val="none" w:sz="0" w:space="0" w:color="auto"/>
        <w:right w:val="none" w:sz="0" w:space="0" w:color="auto"/>
      </w:divBdr>
    </w:div>
    <w:div w:id="190149922">
      <w:bodyDiv w:val="1"/>
      <w:marLeft w:val="0"/>
      <w:marRight w:val="0"/>
      <w:marTop w:val="0"/>
      <w:marBottom w:val="0"/>
      <w:divBdr>
        <w:top w:val="none" w:sz="0" w:space="0" w:color="auto"/>
        <w:left w:val="none" w:sz="0" w:space="0" w:color="auto"/>
        <w:bottom w:val="none" w:sz="0" w:space="0" w:color="auto"/>
        <w:right w:val="none" w:sz="0" w:space="0" w:color="auto"/>
      </w:divBdr>
    </w:div>
    <w:div w:id="275410978">
      <w:bodyDiv w:val="1"/>
      <w:marLeft w:val="0"/>
      <w:marRight w:val="0"/>
      <w:marTop w:val="0"/>
      <w:marBottom w:val="0"/>
      <w:divBdr>
        <w:top w:val="none" w:sz="0" w:space="0" w:color="auto"/>
        <w:left w:val="none" w:sz="0" w:space="0" w:color="auto"/>
        <w:bottom w:val="none" w:sz="0" w:space="0" w:color="auto"/>
        <w:right w:val="none" w:sz="0" w:space="0" w:color="auto"/>
      </w:divBdr>
    </w:div>
    <w:div w:id="404230039">
      <w:bodyDiv w:val="1"/>
      <w:marLeft w:val="0"/>
      <w:marRight w:val="0"/>
      <w:marTop w:val="0"/>
      <w:marBottom w:val="0"/>
      <w:divBdr>
        <w:top w:val="none" w:sz="0" w:space="0" w:color="auto"/>
        <w:left w:val="none" w:sz="0" w:space="0" w:color="auto"/>
        <w:bottom w:val="none" w:sz="0" w:space="0" w:color="auto"/>
        <w:right w:val="none" w:sz="0" w:space="0" w:color="auto"/>
      </w:divBdr>
    </w:div>
    <w:div w:id="938681145">
      <w:bodyDiv w:val="1"/>
      <w:marLeft w:val="0"/>
      <w:marRight w:val="0"/>
      <w:marTop w:val="0"/>
      <w:marBottom w:val="0"/>
      <w:divBdr>
        <w:top w:val="none" w:sz="0" w:space="0" w:color="auto"/>
        <w:left w:val="none" w:sz="0" w:space="0" w:color="auto"/>
        <w:bottom w:val="none" w:sz="0" w:space="0" w:color="auto"/>
        <w:right w:val="none" w:sz="0" w:space="0" w:color="auto"/>
      </w:divBdr>
    </w:div>
    <w:div w:id="951012775">
      <w:bodyDiv w:val="1"/>
      <w:marLeft w:val="0"/>
      <w:marRight w:val="0"/>
      <w:marTop w:val="0"/>
      <w:marBottom w:val="0"/>
      <w:divBdr>
        <w:top w:val="none" w:sz="0" w:space="0" w:color="auto"/>
        <w:left w:val="none" w:sz="0" w:space="0" w:color="auto"/>
        <w:bottom w:val="none" w:sz="0" w:space="0" w:color="auto"/>
        <w:right w:val="none" w:sz="0" w:space="0" w:color="auto"/>
      </w:divBdr>
    </w:div>
    <w:div w:id="1024483032">
      <w:bodyDiv w:val="1"/>
      <w:marLeft w:val="0"/>
      <w:marRight w:val="0"/>
      <w:marTop w:val="0"/>
      <w:marBottom w:val="0"/>
      <w:divBdr>
        <w:top w:val="none" w:sz="0" w:space="0" w:color="auto"/>
        <w:left w:val="none" w:sz="0" w:space="0" w:color="auto"/>
        <w:bottom w:val="none" w:sz="0" w:space="0" w:color="auto"/>
        <w:right w:val="none" w:sz="0" w:space="0" w:color="auto"/>
      </w:divBdr>
    </w:div>
    <w:div w:id="1047492773">
      <w:bodyDiv w:val="1"/>
      <w:marLeft w:val="0"/>
      <w:marRight w:val="0"/>
      <w:marTop w:val="0"/>
      <w:marBottom w:val="0"/>
      <w:divBdr>
        <w:top w:val="none" w:sz="0" w:space="0" w:color="auto"/>
        <w:left w:val="none" w:sz="0" w:space="0" w:color="auto"/>
        <w:bottom w:val="none" w:sz="0" w:space="0" w:color="auto"/>
        <w:right w:val="none" w:sz="0" w:space="0" w:color="auto"/>
      </w:divBdr>
    </w:div>
    <w:div w:id="1137382927">
      <w:bodyDiv w:val="1"/>
      <w:marLeft w:val="0"/>
      <w:marRight w:val="0"/>
      <w:marTop w:val="0"/>
      <w:marBottom w:val="0"/>
      <w:divBdr>
        <w:top w:val="none" w:sz="0" w:space="0" w:color="auto"/>
        <w:left w:val="none" w:sz="0" w:space="0" w:color="auto"/>
        <w:bottom w:val="none" w:sz="0" w:space="0" w:color="auto"/>
        <w:right w:val="none" w:sz="0" w:space="0" w:color="auto"/>
      </w:divBdr>
    </w:div>
    <w:div w:id="1194029092">
      <w:bodyDiv w:val="1"/>
      <w:marLeft w:val="0"/>
      <w:marRight w:val="0"/>
      <w:marTop w:val="0"/>
      <w:marBottom w:val="0"/>
      <w:divBdr>
        <w:top w:val="none" w:sz="0" w:space="0" w:color="auto"/>
        <w:left w:val="none" w:sz="0" w:space="0" w:color="auto"/>
        <w:bottom w:val="none" w:sz="0" w:space="0" w:color="auto"/>
        <w:right w:val="none" w:sz="0" w:space="0" w:color="auto"/>
      </w:divBdr>
    </w:div>
    <w:div w:id="1246575215">
      <w:bodyDiv w:val="1"/>
      <w:marLeft w:val="0"/>
      <w:marRight w:val="0"/>
      <w:marTop w:val="0"/>
      <w:marBottom w:val="0"/>
      <w:divBdr>
        <w:top w:val="none" w:sz="0" w:space="0" w:color="auto"/>
        <w:left w:val="none" w:sz="0" w:space="0" w:color="auto"/>
        <w:bottom w:val="none" w:sz="0" w:space="0" w:color="auto"/>
        <w:right w:val="none" w:sz="0" w:space="0" w:color="auto"/>
      </w:divBdr>
    </w:div>
    <w:div w:id="1289433995">
      <w:bodyDiv w:val="1"/>
      <w:marLeft w:val="0"/>
      <w:marRight w:val="0"/>
      <w:marTop w:val="0"/>
      <w:marBottom w:val="0"/>
      <w:divBdr>
        <w:top w:val="none" w:sz="0" w:space="0" w:color="auto"/>
        <w:left w:val="none" w:sz="0" w:space="0" w:color="auto"/>
        <w:bottom w:val="none" w:sz="0" w:space="0" w:color="auto"/>
        <w:right w:val="none" w:sz="0" w:space="0" w:color="auto"/>
      </w:divBdr>
    </w:div>
    <w:div w:id="179374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BA57F-2673-4F8D-B878-CEA349C3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1079</Words>
  <Characters>6154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dc:creator>
  <cp:lastModifiedBy>francesca ottavi</cp:lastModifiedBy>
  <cp:revision>5</cp:revision>
  <dcterms:created xsi:type="dcterms:W3CDTF">2022-03-28T17:39:00Z</dcterms:created>
  <dcterms:modified xsi:type="dcterms:W3CDTF">2022-03-28T17:40:00Z</dcterms:modified>
</cp:coreProperties>
</file>